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F7E5" w14:textId="5DDF114C" w:rsidR="00D24FAC" w:rsidRDefault="00D24FAC" w:rsidP="001B641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 t</w:t>
      </w:r>
      <w:r w:rsidR="00C53D99" w:rsidRPr="00D50597">
        <w:rPr>
          <w:rFonts w:ascii="Arial" w:hAnsi="Arial" w:cs="Arial"/>
          <w:b/>
          <w:bCs/>
          <w:sz w:val="28"/>
          <w:szCs w:val="28"/>
        </w:rPr>
        <w:t>ransición energética</w:t>
      </w:r>
      <w:r>
        <w:rPr>
          <w:rFonts w:ascii="Arial" w:hAnsi="Arial" w:cs="Arial"/>
          <w:b/>
          <w:bCs/>
          <w:sz w:val="28"/>
          <w:szCs w:val="28"/>
        </w:rPr>
        <w:t xml:space="preserve"> basada en renovables</w:t>
      </w:r>
      <w:r w:rsidR="00D50597">
        <w:rPr>
          <w:rFonts w:ascii="Arial" w:hAnsi="Arial" w:cs="Arial"/>
          <w:b/>
          <w:bCs/>
          <w:sz w:val="28"/>
          <w:szCs w:val="28"/>
        </w:rPr>
        <w:t>:</w:t>
      </w:r>
      <w:r w:rsidR="00C53D99" w:rsidRPr="00D5059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A6D5FD" w14:textId="2F4EFD3D" w:rsidR="006C09B0" w:rsidRPr="00D50597" w:rsidRDefault="00C53D99" w:rsidP="001B64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0597">
        <w:rPr>
          <w:rFonts w:ascii="Arial" w:hAnsi="Arial" w:cs="Arial"/>
          <w:b/>
          <w:bCs/>
          <w:sz w:val="28"/>
          <w:szCs w:val="28"/>
        </w:rPr>
        <w:t>¿</w:t>
      </w:r>
      <w:r w:rsidR="00D24FAC">
        <w:rPr>
          <w:rFonts w:ascii="Arial" w:hAnsi="Arial" w:cs="Arial"/>
          <w:b/>
          <w:bCs/>
          <w:sz w:val="28"/>
          <w:szCs w:val="28"/>
        </w:rPr>
        <w:t>un nuevo riesgo de deuda ecológica</w:t>
      </w:r>
      <w:r w:rsidRPr="00D50597">
        <w:rPr>
          <w:rFonts w:ascii="Arial" w:hAnsi="Arial" w:cs="Arial"/>
          <w:b/>
          <w:bCs/>
          <w:sz w:val="28"/>
          <w:szCs w:val="28"/>
        </w:rPr>
        <w:t>?</w:t>
      </w:r>
    </w:p>
    <w:p w14:paraId="799FF1D7" w14:textId="19658EE1" w:rsidR="00661D5B" w:rsidRPr="00D50597" w:rsidRDefault="00C53D99" w:rsidP="00661D5B">
      <w:pPr>
        <w:jc w:val="right"/>
        <w:rPr>
          <w:rFonts w:ascii="Arial" w:hAnsi="Arial" w:cs="Arial"/>
          <w:sz w:val="24"/>
          <w:szCs w:val="24"/>
        </w:rPr>
      </w:pPr>
      <w:r w:rsidRPr="00D50597">
        <w:rPr>
          <w:rFonts w:ascii="Arial" w:hAnsi="Arial" w:cs="Arial"/>
          <w:sz w:val="24"/>
          <w:szCs w:val="24"/>
        </w:rPr>
        <w:t xml:space="preserve">Daniela </w:t>
      </w:r>
      <w:r w:rsidR="00657C4F" w:rsidRPr="00D50597">
        <w:rPr>
          <w:rFonts w:ascii="Arial" w:hAnsi="Arial" w:cs="Arial"/>
          <w:sz w:val="24"/>
          <w:szCs w:val="24"/>
        </w:rPr>
        <w:t>S</w:t>
      </w:r>
      <w:r w:rsidRPr="00D50597">
        <w:rPr>
          <w:rFonts w:ascii="Arial" w:hAnsi="Arial" w:cs="Arial"/>
          <w:sz w:val="24"/>
          <w:szCs w:val="24"/>
        </w:rPr>
        <w:t xml:space="preserve">óstenes </w:t>
      </w:r>
      <w:r w:rsidR="00657C4F" w:rsidRPr="00D50597">
        <w:rPr>
          <w:rFonts w:ascii="Arial" w:hAnsi="Arial" w:cs="Arial"/>
          <w:sz w:val="24"/>
          <w:szCs w:val="24"/>
        </w:rPr>
        <w:t>F</w:t>
      </w:r>
      <w:r w:rsidRPr="00D50597">
        <w:rPr>
          <w:rFonts w:ascii="Arial" w:hAnsi="Arial" w:cs="Arial"/>
          <w:sz w:val="24"/>
          <w:szCs w:val="24"/>
        </w:rPr>
        <w:t>lores</w:t>
      </w:r>
    </w:p>
    <w:p w14:paraId="527518F2" w14:textId="16E0BBAC" w:rsidR="00C53D99" w:rsidRPr="003F6F0F" w:rsidRDefault="00C53D99" w:rsidP="005605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6F0F">
        <w:rPr>
          <w:rFonts w:ascii="Arial" w:hAnsi="Arial" w:cs="Arial"/>
          <w:b/>
          <w:bCs/>
          <w:sz w:val="24"/>
          <w:szCs w:val="24"/>
        </w:rPr>
        <w:t>Introducción</w:t>
      </w:r>
    </w:p>
    <w:p w14:paraId="0AC49DD0" w14:textId="08FB5212" w:rsidR="0094139F" w:rsidRPr="00076151" w:rsidRDefault="00FD505E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151">
        <w:rPr>
          <w:rFonts w:ascii="Arial" w:hAnsi="Arial" w:cs="Arial"/>
          <w:sz w:val="24"/>
          <w:szCs w:val="24"/>
        </w:rPr>
        <w:t xml:space="preserve">La transición energética </w:t>
      </w:r>
      <w:r w:rsidR="003F6F0F" w:rsidRPr="00076151">
        <w:rPr>
          <w:rFonts w:ascii="Arial" w:hAnsi="Arial" w:cs="Arial"/>
          <w:sz w:val="24"/>
          <w:szCs w:val="24"/>
        </w:rPr>
        <w:t>implica</w:t>
      </w:r>
      <w:r w:rsidRPr="00076151">
        <w:rPr>
          <w:rFonts w:ascii="Arial" w:hAnsi="Arial" w:cs="Arial"/>
          <w:sz w:val="24"/>
          <w:szCs w:val="24"/>
        </w:rPr>
        <w:t xml:space="preserve"> cambiar el sistema energético radicado en combustibles fósiles a uno de bajas emisiones de carbono bas</w:t>
      </w:r>
      <w:r w:rsidR="000D7AA9" w:rsidRPr="00076151">
        <w:rPr>
          <w:rFonts w:ascii="Arial" w:hAnsi="Arial" w:cs="Arial"/>
          <w:sz w:val="24"/>
          <w:szCs w:val="24"/>
        </w:rPr>
        <w:t>a</w:t>
      </w:r>
      <w:r w:rsidRPr="00076151">
        <w:rPr>
          <w:rFonts w:ascii="Arial" w:hAnsi="Arial" w:cs="Arial"/>
          <w:sz w:val="24"/>
          <w:szCs w:val="24"/>
        </w:rPr>
        <w:t>do en fuentes renovables</w:t>
      </w:r>
      <w:r w:rsidR="005F34A4" w:rsidRPr="00076151">
        <w:rPr>
          <w:rFonts w:ascii="Arial" w:hAnsi="Arial" w:cs="Arial"/>
          <w:sz w:val="24"/>
          <w:szCs w:val="24"/>
        </w:rPr>
        <w:t xml:space="preserve">, </w:t>
      </w:r>
      <w:r w:rsidR="000D7AA9" w:rsidRPr="00076151">
        <w:rPr>
          <w:rFonts w:ascii="Arial" w:hAnsi="Arial" w:cs="Arial"/>
          <w:sz w:val="24"/>
          <w:szCs w:val="24"/>
        </w:rPr>
        <w:t>pues</w:t>
      </w:r>
      <w:r w:rsidR="005F34A4" w:rsidRPr="00076151">
        <w:rPr>
          <w:rFonts w:ascii="Arial" w:hAnsi="Arial" w:cs="Arial"/>
          <w:sz w:val="24"/>
          <w:szCs w:val="24"/>
        </w:rPr>
        <w:t xml:space="preserve"> ofrecen una extensa lista de ventajas ambientales</w:t>
      </w:r>
      <w:r w:rsidR="00F41BE2" w:rsidRPr="00076151">
        <w:rPr>
          <w:rFonts w:ascii="Arial" w:hAnsi="Arial" w:cs="Arial"/>
          <w:sz w:val="24"/>
          <w:szCs w:val="24"/>
        </w:rPr>
        <w:t>,</w:t>
      </w:r>
      <w:r w:rsidR="005F34A4" w:rsidRPr="00076151">
        <w:rPr>
          <w:rFonts w:ascii="Arial" w:hAnsi="Arial" w:cs="Arial"/>
          <w:sz w:val="24"/>
          <w:szCs w:val="24"/>
        </w:rPr>
        <w:t xml:space="preserve"> económicas</w:t>
      </w:r>
      <w:r w:rsidR="00F41BE2" w:rsidRPr="00076151">
        <w:rPr>
          <w:rFonts w:ascii="Arial" w:hAnsi="Arial" w:cs="Arial"/>
          <w:sz w:val="24"/>
          <w:szCs w:val="24"/>
        </w:rPr>
        <w:t xml:space="preserve"> y sociales, como la reducción de gases de efecto invernadero</w:t>
      </w:r>
      <w:r w:rsidR="0094139F" w:rsidRPr="00076151">
        <w:rPr>
          <w:rFonts w:ascii="Arial" w:hAnsi="Arial" w:cs="Arial"/>
          <w:sz w:val="24"/>
          <w:szCs w:val="24"/>
        </w:rPr>
        <w:t xml:space="preserve"> (GEI)</w:t>
      </w:r>
      <w:r w:rsidR="00F41BE2" w:rsidRPr="00076151">
        <w:rPr>
          <w:rFonts w:ascii="Arial" w:hAnsi="Arial" w:cs="Arial"/>
          <w:sz w:val="24"/>
          <w:szCs w:val="24"/>
        </w:rPr>
        <w:t xml:space="preserve">, </w:t>
      </w:r>
      <w:r w:rsidR="00FE3BED" w:rsidRPr="00076151">
        <w:rPr>
          <w:rFonts w:ascii="Arial" w:hAnsi="Arial" w:cs="Arial"/>
          <w:sz w:val="24"/>
          <w:szCs w:val="24"/>
        </w:rPr>
        <w:t>así como la de enfermedades ocasionadas por mala calidad de aire</w:t>
      </w:r>
      <w:r w:rsidR="00293406" w:rsidRPr="00076151">
        <w:rPr>
          <w:rFonts w:ascii="Arial" w:hAnsi="Arial" w:cs="Arial"/>
          <w:sz w:val="24"/>
          <w:szCs w:val="24"/>
        </w:rPr>
        <w:t>,</w:t>
      </w:r>
      <w:r w:rsidR="00FE3BED" w:rsidRPr="00076151">
        <w:rPr>
          <w:rFonts w:ascii="Arial" w:hAnsi="Arial" w:cs="Arial"/>
          <w:sz w:val="24"/>
          <w:szCs w:val="24"/>
        </w:rPr>
        <w:t xml:space="preserve"> pues la exposición a altos niveles de contaminación puede causar infecciones respiratorias, enfermedades cardíacas, derrames cerebrales y cáncer de pulmón</w:t>
      </w:r>
      <w:r w:rsidR="00293406" w:rsidRPr="00076151">
        <w:rPr>
          <w:rFonts w:ascii="Arial" w:hAnsi="Arial" w:cs="Arial"/>
          <w:sz w:val="24"/>
          <w:szCs w:val="24"/>
        </w:rPr>
        <w:t xml:space="preserve"> </w:t>
      </w:r>
      <w:r w:rsidR="002A183E" w:rsidRPr="00076151">
        <w:rPr>
          <w:rFonts w:ascii="Arial" w:hAnsi="Arial" w:cs="Arial"/>
          <w:sz w:val="24"/>
          <w:szCs w:val="24"/>
        </w:rPr>
        <w:t xml:space="preserve">(OPS, </w:t>
      </w:r>
      <w:r w:rsidR="00A34EE2" w:rsidRPr="00076151">
        <w:rPr>
          <w:rFonts w:ascii="Arial" w:hAnsi="Arial" w:cs="Arial"/>
          <w:sz w:val="24"/>
          <w:szCs w:val="24"/>
        </w:rPr>
        <w:t>2016)</w:t>
      </w:r>
      <w:r w:rsidR="009A5819" w:rsidRPr="00076151">
        <w:rPr>
          <w:rFonts w:ascii="Arial" w:hAnsi="Arial" w:cs="Arial"/>
          <w:sz w:val="24"/>
          <w:szCs w:val="24"/>
        </w:rPr>
        <w:t>, t</w:t>
      </w:r>
      <w:r w:rsidR="00FE3BED" w:rsidRPr="00076151">
        <w:rPr>
          <w:rFonts w:ascii="Arial" w:hAnsi="Arial" w:cs="Arial"/>
          <w:sz w:val="24"/>
          <w:szCs w:val="24"/>
        </w:rPr>
        <w:t xml:space="preserve">ambién los </w:t>
      </w:r>
      <w:r w:rsidR="000F4B23" w:rsidRPr="00076151">
        <w:rPr>
          <w:rFonts w:ascii="Arial" w:hAnsi="Arial" w:cs="Arial"/>
          <w:sz w:val="24"/>
          <w:szCs w:val="24"/>
        </w:rPr>
        <w:t>costos de servicios (electricidad, agua y gas)</w:t>
      </w:r>
      <w:r w:rsidR="00FE3BED" w:rsidRPr="00076151">
        <w:rPr>
          <w:rFonts w:ascii="Arial" w:hAnsi="Arial" w:cs="Arial"/>
          <w:sz w:val="24"/>
          <w:szCs w:val="24"/>
        </w:rPr>
        <w:t xml:space="preserve"> son menores</w:t>
      </w:r>
      <w:r w:rsidR="000F4B23" w:rsidRPr="00076151">
        <w:rPr>
          <w:rFonts w:ascii="Arial" w:hAnsi="Arial" w:cs="Arial"/>
          <w:sz w:val="24"/>
          <w:szCs w:val="24"/>
        </w:rPr>
        <w:t>, y que aquellas comunidades remotas tengan acceso a estos servicios</w:t>
      </w:r>
      <w:r w:rsidR="00293406" w:rsidRPr="00076151">
        <w:rPr>
          <w:rFonts w:ascii="Arial" w:hAnsi="Arial" w:cs="Arial"/>
          <w:sz w:val="24"/>
          <w:szCs w:val="24"/>
        </w:rPr>
        <w:t xml:space="preserve">. En este sentido, </w:t>
      </w:r>
      <w:r w:rsidR="009A5819" w:rsidRPr="00076151">
        <w:rPr>
          <w:rFonts w:ascii="Arial" w:hAnsi="Arial" w:cs="Arial"/>
          <w:sz w:val="24"/>
          <w:szCs w:val="24"/>
        </w:rPr>
        <w:t>se estima que entre 1.5 y el 2% de los mexicanos cae en situación de pobreza</w:t>
      </w:r>
      <w:r w:rsidR="001B7444" w:rsidRPr="00076151">
        <w:rPr>
          <w:rFonts w:ascii="Arial" w:hAnsi="Arial" w:cs="Arial"/>
          <w:sz w:val="24"/>
          <w:szCs w:val="24"/>
        </w:rPr>
        <w:t xml:space="preserve"> energética</w:t>
      </w:r>
      <w:r w:rsidR="00A34EE2" w:rsidRPr="00076151">
        <w:rPr>
          <w:rFonts w:ascii="Arial" w:hAnsi="Arial" w:cs="Arial"/>
          <w:sz w:val="24"/>
          <w:szCs w:val="24"/>
        </w:rPr>
        <w:t xml:space="preserve"> (Servín, 2021)</w:t>
      </w:r>
      <w:r w:rsidR="009A5819" w:rsidRPr="00076151">
        <w:rPr>
          <w:rFonts w:ascii="Arial" w:hAnsi="Arial" w:cs="Arial"/>
          <w:sz w:val="24"/>
          <w:szCs w:val="24"/>
        </w:rPr>
        <w:t>.</w:t>
      </w:r>
    </w:p>
    <w:p w14:paraId="326F3772" w14:textId="62CF00CD" w:rsidR="00D24FAC" w:rsidRDefault="00C53D99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151">
        <w:rPr>
          <w:rFonts w:ascii="Arial" w:hAnsi="Arial" w:cs="Arial"/>
          <w:sz w:val="24"/>
          <w:szCs w:val="24"/>
        </w:rPr>
        <w:tab/>
      </w:r>
      <w:r w:rsidR="00C91949" w:rsidRPr="00076151">
        <w:rPr>
          <w:rFonts w:ascii="Arial" w:hAnsi="Arial" w:cs="Arial"/>
          <w:sz w:val="24"/>
          <w:szCs w:val="24"/>
        </w:rPr>
        <w:t xml:space="preserve">No obstante, si </w:t>
      </w:r>
      <w:r w:rsidR="0094139F" w:rsidRPr="00076151">
        <w:rPr>
          <w:rFonts w:ascii="Arial" w:hAnsi="Arial" w:cs="Arial"/>
          <w:sz w:val="24"/>
          <w:szCs w:val="24"/>
        </w:rPr>
        <w:t xml:space="preserve">bien </w:t>
      </w:r>
      <w:r w:rsidR="00F038DB" w:rsidRPr="00076151">
        <w:rPr>
          <w:rFonts w:ascii="Arial" w:hAnsi="Arial" w:cs="Arial"/>
          <w:sz w:val="24"/>
          <w:szCs w:val="24"/>
        </w:rPr>
        <w:t>las tecnologías</w:t>
      </w:r>
      <w:r w:rsidR="0094139F" w:rsidRPr="00076151">
        <w:rPr>
          <w:rFonts w:ascii="Arial" w:hAnsi="Arial" w:cs="Arial"/>
          <w:sz w:val="24"/>
          <w:szCs w:val="24"/>
        </w:rPr>
        <w:t xml:space="preserve"> de energías renovables </w:t>
      </w:r>
      <w:r w:rsidR="00F038DB" w:rsidRPr="00076151">
        <w:rPr>
          <w:rFonts w:ascii="Arial" w:hAnsi="Arial" w:cs="Arial"/>
          <w:sz w:val="24"/>
          <w:szCs w:val="24"/>
        </w:rPr>
        <w:t xml:space="preserve">permiten </w:t>
      </w:r>
      <w:r w:rsidR="0094139F" w:rsidRPr="00076151">
        <w:rPr>
          <w:rFonts w:ascii="Arial" w:hAnsi="Arial" w:cs="Arial"/>
          <w:sz w:val="24"/>
          <w:szCs w:val="24"/>
        </w:rPr>
        <w:t>produ</w:t>
      </w:r>
      <w:r w:rsidR="00F038DB" w:rsidRPr="00076151">
        <w:rPr>
          <w:rFonts w:ascii="Arial" w:hAnsi="Arial" w:cs="Arial"/>
          <w:sz w:val="24"/>
          <w:szCs w:val="24"/>
        </w:rPr>
        <w:t>cir</w:t>
      </w:r>
      <w:r w:rsidR="0094139F" w:rsidRPr="00076151">
        <w:rPr>
          <w:rFonts w:ascii="Arial" w:hAnsi="Arial" w:cs="Arial"/>
          <w:sz w:val="24"/>
          <w:szCs w:val="24"/>
        </w:rPr>
        <w:t xml:space="preserve"> menos emisiones de GEI</w:t>
      </w:r>
      <w:r w:rsidR="000F4B23" w:rsidRPr="00076151">
        <w:rPr>
          <w:rFonts w:ascii="Arial" w:hAnsi="Arial" w:cs="Arial"/>
          <w:sz w:val="24"/>
          <w:szCs w:val="24"/>
        </w:rPr>
        <w:t xml:space="preserve">, </w:t>
      </w:r>
      <w:r w:rsidR="00F038DB" w:rsidRPr="00076151">
        <w:rPr>
          <w:rFonts w:ascii="Arial" w:hAnsi="Arial" w:cs="Arial"/>
          <w:sz w:val="24"/>
          <w:szCs w:val="24"/>
        </w:rPr>
        <w:t xml:space="preserve">requieren de </w:t>
      </w:r>
      <w:r w:rsidR="000F4B23" w:rsidRPr="00076151">
        <w:rPr>
          <w:rFonts w:ascii="Arial" w:hAnsi="Arial" w:cs="Arial"/>
          <w:sz w:val="24"/>
          <w:szCs w:val="24"/>
        </w:rPr>
        <w:t xml:space="preserve">minerales </w:t>
      </w:r>
      <w:r w:rsidR="00F038DB" w:rsidRPr="00076151">
        <w:rPr>
          <w:rFonts w:ascii="Arial" w:hAnsi="Arial" w:cs="Arial"/>
          <w:sz w:val="24"/>
          <w:szCs w:val="24"/>
        </w:rPr>
        <w:t>escasos,</w:t>
      </w:r>
      <w:r w:rsidR="00F02830" w:rsidRPr="00076151">
        <w:rPr>
          <w:rFonts w:ascii="Arial" w:hAnsi="Arial" w:cs="Arial"/>
          <w:sz w:val="24"/>
          <w:szCs w:val="24"/>
        </w:rPr>
        <w:t xml:space="preserve"> como el hierro, </w:t>
      </w:r>
      <w:r w:rsidR="00293406" w:rsidRPr="00076151">
        <w:rPr>
          <w:rFonts w:ascii="Arial" w:hAnsi="Arial" w:cs="Arial"/>
          <w:sz w:val="24"/>
          <w:szCs w:val="24"/>
        </w:rPr>
        <w:t xml:space="preserve">el </w:t>
      </w:r>
      <w:r w:rsidR="00F02830" w:rsidRPr="00076151">
        <w:rPr>
          <w:rFonts w:ascii="Arial" w:hAnsi="Arial" w:cs="Arial"/>
          <w:sz w:val="24"/>
          <w:szCs w:val="24"/>
        </w:rPr>
        <w:t>aluminio</w:t>
      </w:r>
      <w:r w:rsidR="00293406" w:rsidRPr="00076151">
        <w:rPr>
          <w:rFonts w:ascii="Arial" w:hAnsi="Arial" w:cs="Arial"/>
          <w:sz w:val="24"/>
          <w:szCs w:val="24"/>
        </w:rPr>
        <w:t xml:space="preserve"> y el</w:t>
      </w:r>
      <w:r w:rsidR="00F02830" w:rsidRPr="00076151">
        <w:rPr>
          <w:rFonts w:ascii="Arial" w:hAnsi="Arial" w:cs="Arial"/>
          <w:sz w:val="24"/>
          <w:szCs w:val="24"/>
        </w:rPr>
        <w:t xml:space="preserve"> cobre, entre otros</w:t>
      </w:r>
      <w:r w:rsidR="00F02830" w:rsidRPr="00076151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F02830" w:rsidRPr="00076151">
        <w:rPr>
          <w:rFonts w:ascii="Arial" w:hAnsi="Arial" w:cs="Arial"/>
          <w:sz w:val="24"/>
          <w:szCs w:val="24"/>
        </w:rPr>
        <w:t xml:space="preserve"> que se encuentran</w:t>
      </w:r>
      <w:r w:rsidR="00F038DB" w:rsidRPr="00076151">
        <w:rPr>
          <w:rFonts w:ascii="Arial" w:hAnsi="Arial" w:cs="Arial"/>
          <w:sz w:val="24"/>
          <w:szCs w:val="24"/>
        </w:rPr>
        <w:t xml:space="preserve"> ubicados en países del Sur Global</w:t>
      </w:r>
      <w:r w:rsidR="00F02830" w:rsidRPr="00076151">
        <w:rPr>
          <w:rFonts w:ascii="Arial" w:hAnsi="Arial" w:cs="Arial"/>
          <w:sz w:val="24"/>
          <w:szCs w:val="24"/>
        </w:rPr>
        <w:t xml:space="preserve">. </w:t>
      </w:r>
      <w:r w:rsidR="00F038DB" w:rsidRPr="00076151">
        <w:rPr>
          <w:rFonts w:ascii="Arial" w:hAnsi="Arial" w:cs="Arial"/>
          <w:sz w:val="24"/>
          <w:szCs w:val="24"/>
        </w:rPr>
        <w:t>Asimismo, las actividades mineras asociadas a su extracción</w:t>
      </w:r>
      <w:r w:rsidR="00DF7329" w:rsidRPr="00076151">
        <w:rPr>
          <w:rFonts w:ascii="Arial" w:hAnsi="Arial" w:cs="Arial"/>
          <w:sz w:val="24"/>
          <w:szCs w:val="24"/>
        </w:rPr>
        <w:t xml:space="preserve"> </w:t>
      </w:r>
      <w:r w:rsidR="0094139F" w:rsidRPr="00076151">
        <w:rPr>
          <w:rFonts w:ascii="Arial" w:hAnsi="Arial" w:cs="Arial"/>
          <w:sz w:val="24"/>
          <w:szCs w:val="24"/>
        </w:rPr>
        <w:t>genera</w:t>
      </w:r>
      <w:r w:rsidR="00F038DB" w:rsidRPr="00076151">
        <w:rPr>
          <w:rFonts w:ascii="Arial" w:hAnsi="Arial" w:cs="Arial"/>
          <w:sz w:val="24"/>
          <w:szCs w:val="24"/>
        </w:rPr>
        <w:t>n</w:t>
      </w:r>
      <w:r w:rsidR="0094139F" w:rsidRPr="00076151">
        <w:rPr>
          <w:rFonts w:ascii="Arial" w:hAnsi="Arial" w:cs="Arial"/>
          <w:sz w:val="24"/>
          <w:szCs w:val="24"/>
        </w:rPr>
        <w:t xml:space="preserve"> fuertes impactos ambientales</w:t>
      </w:r>
      <w:r w:rsidR="00F038DB" w:rsidRPr="00076151">
        <w:rPr>
          <w:rFonts w:ascii="Arial" w:hAnsi="Arial" w:cs="Arial"/>
          <w:sz w:val="24"/>
          <w:szCs w:val="24"/>
        </w:rPr>
        <w:t xml:space="preserve"> y sociales.</w:t>
      </w:r>
      <w:r w:rsidR="00DF7329" w:rsidRPr="005605AC">
        <w:rPr>
          <w:rFonts w:ascii="Arial" w:hAnsi="Arial" w:cs="Arial"/>
          <w:sz w:val="24"/>
          <w:szCs w:val="24"/>
        </w:rPr>
        <w:t xml:space="preserve"> </w:t>
      </w:r>
    </w:p>
    <w:p w14:paraId="28A46FF1" w14:textId="5529F029" w:rsidR="00E516A3" w:rsidRDefault="00D24FAC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38DB">
        <w:rPr>
          <w:rFonts w:ascii="Arial" w:hAnsi="Arial" w:cs="Arial"/>
          <w:sz w:val="24"/>
          <w:szCs w:val="24"/>
        </w:rPr>
        <w:t xml:space="preserve">Ante este escenario, resulta necesario problematizar </w:t>
      </w:r>
      <w:r w:rsidR="00056678">
        <w:rPr>
          <w:rFonts w:ascii="Arial" w:hAnsi="Arial" w:cs="Arial"/>
          <w:sz w:val="24"/>
          <w:szCs w:val="24"/>
        </w:rPr>
        <w:t>la</w:t>
      </w:r>
      <w:r w:rsidR="00F038DB">
        <w:rPr>
          <w:rFonts w:ascii="Arial" w:hAnsi="Arial" w:cs="Arial"/>
          <w:sz w:val="24"/>
          <w:szCs w:val="24"/>
        </w:rPr>
        <w:t xml:space="preserve"> posible </w:t>
      </w:r>
      <w:r w:rsidR="00056678">
        <w:rPr>
          <w:rFonts w:ascii="Arial" w:hAnsi="Arial" w:cs="Arial"/>
          <w:sz w:val="24"/>
          <w:szCs w:val="24"/>
        </w:rPr>
        <w:t>reproducción de inequidades sociales, económicas y ambientales entre países, justificada</w:t>
      </w:r>
      <w:r w:rsidR="000D1EDA">
        <w:rPr>
          <w:rFonts w:ascii="Arial" w:hAnsi="Arial" w:cs="Arial"/>
          <w:sz w:val="24"/>
          <w:szCs w:val="24"/>
        </w:rPr>
        <w:t xml:space="preserve"> </w:t>
      </w:r>
      <w:r w:rsidR="00056678">
        <w:rPr>
          <w:rFonts w:ascii="Arial" w:hAnsi="Arial" w:cs="Arial"/>
          <w:sz w:val="24"/>
          <w:szCs w:val="24"/>
        </w:rPr>
        <w:t>desde el</w:t>
      </w:r>
      <w:r w:rsidR="000D1EDA">
        <w:rPr>
          <w:rFonts w:ascii="Arial" w:hAnsi="Arial" w:cs="Arial"/>
          <w:sz w:val="24"/>
          <w:szCs w:val="24"/>
        </w:rPr>
        <w:t xml:space="preserve"> discu</w:t>
      </w:r>
      <w:r w:rsidR="00056678">
        <w:rPr>
          <w:rFonts w:ascii="Arial" w:hAnsi="Arial" w:cs="Arial"/>
          <w:sz w:val="24"/>
          <w:szCs w:val="24"/>
        </w:rPr>
        <w:t>r</w:t>
      </w:r>
      <w:r w:rsidR="000D1EDA">
        <w:rPr>
          <w:rFonts w:ascii="Arial" w:hAnsi="Arial" w:cs="Arial"/>
          <w:sz w:val="24"/>
          <w:szCs w:val="24"/>
        </w:rPr>
        <w:t>so de una trans</w:t>
      </w:r>
      <w:r w:rsidR="00056678">
        <w:rPr>
          <w:rFonts w:ascii="Arial" w:hAnsi="Arial" w:cs="Arial"/>
          <w:sz w:val="24"/>
          <w:szCs w:val="24"/>
        </w:rPr>
        <w:t>i</w:t>
      </w:r>
      <w:r w:rsidR="000D1EDA">
        <w:rPr>
          <w:rFonts w:ascii="Arial" w:hAnsi="Arial" w:cs="Arial"/>
          <w:sz w:val="24"/>
          <w:szCs w:val="24"/>
        </w:rPr>
        <w:t xml:space="preserve">ción energética hacia las renovables. Este artículo </w:t>
      </w:r>
      <w:r w:rsidR="00E516A3">
        <w:rPr>
          <w:rFonts w:ascii="Arial" w:hAnsi="Arial" w:cs="Arial"/>
          <w:sz w:val="24"/>
          <w:szCs w:val="24"/>
        </w:rPr>
        <w:t>aborda</w:t>
      </w:r>
      <w:r w:rsidR="000D1EDA">
        <w:rPr>
          <w:rFonts w:ascii="Arial" w:hAnsi="Arial" w:cs="Arial"/>
          <w:sz w:val="24"/>
          <w:szCs w:val="24"/>
        </w:rPr>
        <w:t xml:space="preserve"> </w:t>
      </w:r>
      <w:r w:rsidR="003F6F0F">
        <w:rPr>
          <w:rFonts w:ascii="Arial" w:hAnsi="Arial" w:cs="Arial"/>
          <w:sz w:val="24"/>
          <w:szCs w:val="24"/>
        </w:rPr>
        <w:t>dicho</w:t>
      </w:r>
      <w:r w:rsidR="000D1EDA">
        <w:rPr>
          <w:rFonts w:ascii="Arial" w:hAnsi="Arial" w:cs="Arial"/>
          <w:sz w:val="24"/>
          <w:szCs w:val="24"/>
        </w:rPr>
        <w:t xml:space="preserve"> debate</w:t>
      </w:r>
      <w:r w:rsidR="00056678">
        <w:rPr>
          <w:rFonts w:ascii="Arial" w:hAnsi="Arial" w:cs="Arial"/>
          <w:sz w:val="24"/>
          <w:szCs w:val="24"/>
        </w:rPr>
        <w:t xml:space="preserve"> proponiendo el concepto de deuda ecológica como herramienta teórica para procupar una transición energética ligada a una transición social hacia la justicia </w:t>
      </w:r>
      <w:r w:rsidR="00E516A3">
        <w:rPr>
          <w:rFonts w:ascii="Arial" w:hAnsi="Arial" w:cs="Arial"/>
          <w:sz w:val="24"/>
          <w:szCs w:val="24"/>
        </w:rPr>
        <w:t>global.</w:t>
      </w:r>
    </w:p>
    <w:p w14:paraId="44AF8452" w14:textId="77777777" w:rsidR="00C91949" w:rsidRDefault="00C91949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115D95" w14:textId="5F922A21" w:rsidR="00E516A3" w:rsidRPr="005605AC" w:rsidRDefault="00E516A3" w:rsidP="00E516A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Sobre el concepto de d</w:t>
      </w:r>
      <w:r w:rsidRPr="005605AC">
        <w:rPr>
          <w:rFonts w:ascii="Arial" w:hAnsi="Arial" w:cs="Arial"/>
          <w:b/>
          <w:bCs/>
          <w:sz w:val="24"/>
          <w:szCs w:val="24"/>
        </w:rPr>
        <w:t xml:space="preserve">euda </w:t>
      </w:r>
      <w:r>
        <w:rPr>
          <w:rFonts w:ascii="Arial" w:hAnsi="Arial" w:cs="Arial"/>
          <w:b/>
          <w:bCs/>
          <w:sz w:val="24"/>
          <w:szCs w:val="24"/>
        </w:rPr>
        <w:t>ecológica</w:t>
      </w:r>
    </w:p>
    <w:p w14:paraId="5DFF5A7E" w14:textId="21B42436" w:rsidR="00657C4F" w:rsidRPr="00076151" w:rsidRDefault="00E516A3" w:rsidP="00E516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5E81">
        <w:rPr>
          <w:rFonts w:ascii="Arial" w:hAnsi="Arial" w:cs="Arial"/>
          <w:sz w:val="24"/>
          <w:szCs w:val="24"/>
        </w:rPr>
        <w:t xml:space="preserve">La Deuda Ecológica es la </w:t>
      </w:r>
      <w:r w:rsidR="001515A8">
        <w:rPr>
          <w:rFonts w:ascii="Arial" w:hAnsi="Arial" w:cs="Arial"/>
          <w:sz w:val="24"/>
          <w:szCs w:val="24"/>
        </w:rPr>
        <w:t>acumulada por los países industrializados</w:t>
      </w:r>
      <w:r w:rsidR="00617A3F">
        <w:rPr>
          <w:rFonts w:ascii="Arial" w:hAnsi="Arial" w:cs="Arial"/>
          <w:sz w:val="24"/>
          <w:szCs w:val="24"/>
        </w:rPr>
        <w:t xml:space="preserve"> </w:t>
      </w:r>
      <w:r w:rsidR="00617A3F">
        <w:rPr>
          <w:rFonts w:ascii="Arial" w:hAnsi="Arial" w:cs="Arial"/>
          <w:sz w:val="24"/>
          <w:szCs w:val="24"/>
        </w:rPr>
        <w:sym w:font="Symbol" w:char="F02D"/>
      </w:r>
      <w:r w:rsidR="00617A3F">
        <w:rPr>
          <w:rFonts w:ascii="Arial" w:hAnsi="Arial" w:cs="Arial"/>
          <w:sz w:val="24"/>
          <w:szCs w:val="24"/>
        </w:rPr>
        <w:t xml:space="preserve">también llamados </w:t>
      </w:r>
      <w:r w:rsidR="001515A8">
        <w:rPr>
          <w:rFonts w:ascii="Arial" w:hAnsi="Arial" w:cs="Arial"/>
          <w:sz w:val="24"/>
          <w:szCs w:val="24"/>
        </w:rPr>
        <w:t>del Norte Global</w:t>
      </w:r>
      <w:r w:rsidR="00617A3F">
        <w:rPr>
          <w:rFonts w:ascii="Arial" w:hAnsi="Arial" w:cs="Arial"/>
          <w:sz w:val="24"/>
          <w:szCs w:val="24"/>
        </w:rPr>
        <w:sym w:font="Symbol" w:char="F02D"/>
      </w:r>
      <w:r w:rsidR="00617A3F">
        <w:rPr>
          <w:rFonts w:ascii="Arial" w:hAnsi="Arial" w:cs="Arial"/>
          <w:sz w:val="24"/>
          <w:szCs w:val="24"/>
        </w:rPr>
        <w:t>,</w:t>
      </w:r>
      <w:r w:rsidR="001515A8">
        <w:rPr>
          <w:rFonts w:ascii="Arial" w:hAnsi="Arial" w:cs="Arial"/>
          <w:sz w:val="24"/>
          <w:szCs w:val="24"/>
        </w:rPr>
        <w:t xml:space="preserve"> hacia los países del Sur</w:t>
      </w:r>
      <w:r w:rsidR="00094766">
        <w:rPr>
          <w:rFonts w:ascii="Arial" w:hAnsi="Arial" w:cs="Arial"/>
          <w:sz w:val="24"/>
          <w:szCs w:val="24"/>
        </w:rPr>
        <w:t xml:space="preserve">. Este tipo de deuda se genera debido a que las </w:t>
      </w:r>
      <w:r w:rsidR="00F27BE3">
        <w:rPr>
          <w:rFonts w:ascii="Arial" w:hAnsi="Arial" w:cs="Arial"/>
          <w:sz w:val="24"/>
          <w:szCs w:val="24"/>
        </w:rPr>
        <w:t xml:space="preserve">relaciones inequitativas entre </w:t>
      </w:r>
      <w:r w:rsidR="002B7339">
        <w:rPr>
          <w:rFonts w:ascii="Arial" w:hAnsi="Arial" w:cs="Arial"/>
          <w:sz w:val="24"/>
          <w:szCs w:val="24"/>
        </w:rPr>
        <w:t>países</w:t>
      </w:r>
      <w:r w:rsidR="00F27BE3">
        <w:rPr>
          <w:rFonts w:ascii="Arial" w:hAnsi="Arial" w:cs="Arial"/>
          <w:sz w:val="24"/>
          <w:szCs w:val="24"/>
        </w:rPr>
        <w:t xml:space="preserve"> producen un gran impacto ambiental, social y económico</w:t>
      </w:r>
      <w:r w:rsidR="00094766">
        <w:rPr>
          <w:rFonts w:ascii="Arial" w:hAnsi="Arial" w:cs="Arial"/>
          <w:sz w:val="24"/>
          <w:szCs w:val="24"/>
        </w:rPr>
        <w:t xml:space="preserve"> en los territorios del </w:t>
      </w:r>
      <w:r w:rsidR="0098750C">
        <w:rPr>
          <w:rFonts w:ascii="Arial" w:hAnsi="Arial" w:cs="Arial"/>
          <w:sz w:val="24"/>
          <w:szCs w:val="24"/>
        </w:rPr>
        <w:t>s</w:t>
      </w:r>
      <w:r w:rsidR="00094766">
        <w:rPr>
          <w:rFonts w:ascii="Arial" w:hAnsi="Arial" w:cs="Arial"/>
          <w:sz w:val="24"/>
          <w:szCs w:val="24"/>
        </w:rPr>
        <w:t>ur</w:t>
      </w:r>
      <w:r w:rsidR="00317BF8">
        <w:rPr>
          <w:rFonts w:ascii="Arial" w:hAnsi="Arial" w:cs="Arial"/>
          <w:sz w:val="24"/>
          <w:szCs w:val="24"/>
        </w:rPr>
        <w:t>. Por ejemplo</w:t>
      </w:r>
      <w:r w:rsidR="0098750C">
        <w:rPr>
          <w:rFonts w:ascii="Arial" w:hAnsi="Arial" w:cs="Arial"/>
          <w:sz w:val="24"/>
          <w:szCs w:val="24"/>
        </w:rPr>
        <w:t xml:space="preserve">: a) </w:t>
      </w:r>
      <w:r w:rsidR="00317BF8">
        <w:rPr>
          <w:rFonts w:ascii="Arial" w:hAnsi="Arial" w:cs="Arial"/>
          <w:sz w:val="24"/>
          <w:szCs w:val="24"/>
        </w:rPr>
        <w:t>los países del sur exportan a los del norte</w:t>
      </w:r>
      <w:r w:rsidR="001515A8" w:rsidRPr="001515A8">
        <w:rPr>
          <w:rFonts w:ascii="Arial" w:hAnsi="Arial" w:cs="Arial"/>
          <w:sz w:val="24"/>
          <w:szCs w:val="24"/>
        </w:rPr>
        <w:t xml:space="preserve"> productos primarios a precios muy bajos, </w:t>
      </w:r>
      <w:r w:rsidR="0098750C">
        <w:rPr>
          <w:rFonts w:ascii="Arial" w:hAnsi="Arial" w:cs="Arial"/>
          <w:sz w:val="24"/>
          <w:szCs w:val="24"/>
        </w:rPr>
        <w:t xml:space="preserve">b) </w:t>
      </w:r>
      <w:r w:rsidR="00094766">
        <w:rPr>
          <w:rFonts w:ascii="Arial" w:hAnsi="Arial" w:cs="Arial"/>
          <w:sz w:val="24"/>
          <w:szCs w:val="24"/>
        </w:rPr>
        <w:t xml:space="preserve">las actividades extractivas que los países del norte </w:t>
      </w:r>
      <w:r w:rsidR="0098750C">
        <w:rPr>
          <w:rFonts w:ascii="Arial" w:hAnsi="Arial" w:cs="Arial"/>
          <w:sz w:val="24"/>
          <w:szCs w:val="24"/>
        </w:rPr>
        <w:t xml:space="preserve">llevan a cabo en los del sur, </w:t>
      </w:r>
      <w:r w:rsidR="001515A8" w:rsidRPr="001515A8">
        <w:rPr>
          <w:rFonts w:ascii="Arial" w:hAnsi="Arial" w:cs="Arial"/>
          <w:sz w:val="24"/>
          <w:szCs w:val="24"/>
        </w:rPr>
        <w:t>produc</w:t>
      </w:r>
      <w:r w:rsidR="0098750C">
        <w:rPr>
          <w:rFonts w:ascii="Arial" w:hAnsi="Arial" w:cs="Arial"/>
          <w:sz w:val="24"/>
          <w:szCs w:val="24"/>
        </w:rPr>
        <w:t>en</w:t>
      </w:r>
      <w:r w:rsidR="001515A8" w:rsidRPr="001515A8">
        <w:rPr>
          <w:rFonts w:ascii="Arial" w:hAnsi="Arial" w:cs="Arial"/>
          <w:sz w:val="24"/>
          <w:szCs w:val="24"/>
        </w:rPr>
        <w:t xml:space="preserve"> </w:t>
      </w:r>
      <w:r w:rsidR="0098750C">
        <w:rPr>
          <w:rFonts w:ascii="Arial" w:hAnsi="Arial" w:cs="Arial"/>
          <w:sz w:val="24"/>
          <w:szCs w:val="24"/>
        </w:rPr>
        <w:t>gran contaminación, c) hay una</w:t>
      </w:r>
      <w:r w:rsidR="001515A8" w:rsidRPr="001515A8">
        <w:rPr>
          <w:rFonts w:ascii="Arial" w:hAnsi="Arial" w:cs="Arial"/>
          <w:sz w:val="24"/>
          <w:szCs w:val="24"/>
        </w:rPr>
        <w:t xml:space="preserve"> ocupación gratuita o muy barata de espacio ambiental </w:t>
      </w:r>
      <w:r w:rsidR="0098750C">
        <w:rPr>
          <w:rFonts w:ascii="Arial" w:hAnsi="Arial" w:cs="Arial"/>
          <w:sz w:val="24"/>
          <w:szCs w:val="24"/>
        </w:rPr>
        <w:t xml:space="preserve">en los países del sur </w:t>
      </w:r>
      <w:r w:rsidR="00F27BE3">
        <w:rPr>
          <w:rFonts w:ascii="Arial" w:hAnsi="Arial" w:cs="Arial"/>
          <w:sz w:val="24"/>
          <w:szCs w:val="24"/>
        </w:rPr>
        <w:t>para</w:t>
      </w:r>
      <w:r w:rsidR="001515A8" w:rsidRPr="001515A8">
        <w:rPr>
          <w:rFonts w:ascii="Arial" w:hAnsi="Arial" w:cs="Arial"/>
          <w:sz w:val="24"/>
          <w:szCs w:val="24"/>
        </w:rPr>
        <w:t xml:space="preserve"> </w:t>
      </w:r>
      <w:r w:rsidR="0098750C">
        <w:rPr>
          <w:rFonts w:ascii="Arial" w:hAnsi="Arial" w:cs="Arial"/>
          <w:sz w:val="24"/>
          <w:szCs w:val="24"/>
        </w:rPr>
        <w:t xml:space="preserve">que </w:t>
      </w:r>
      <w:r w:rsidR="001515A8" w:rsidRPr="001515A8">
        <w:rPr>
          <w:rFonts w:ascii="Arial" w:hAnsi="Arial" w:cs="Arial"/>
          <w:sz w:val="24"/>
          <w:szCs w:val="24"/>
        </w:rPr>
        <w:t>los</w:t>
      </w:r>
      <w:r w:rsidR="0098750C">
        <w:rPr>
          <w:rFonts w:ascii="Arial" w:hAnsi="Arial" w:cs="Arial"/>
          <w:sz w:val="24"/>
          <w:szCs w:val="24"/>
        </w:rPr>
        <w:t xml:space="preserve"> del norte depositen sus</w:t>
      </w:r>
      <w:r w:rsidR="001515A8" w:rsidRPr="001515A8">
        <w:rPr>
          <w:rFonts w:ascii="Arial" w:hAnsi="Arial" w:cs="Arial"/>
          <w:sz w:val="24"/>
          <w:szCs w:val="24"/>
        </w:rPr>
        <w:t xml:space="preserve"> residuos</w:t>
      </w:r>
      <w:r w:rsidR="00B770B9">
        <w:rPr>
          <w:rFonts w:ascii="Arial" w:hAnsi="Arial" w:cs="Arial"/>
          <w:sz w:val="24"/>
          <w:szCs w:val="24"/>
        </w:rPr>
        <w:t xml:space="preserve"> Figura 1</w:t>
      </w:r>
      <w:r w:rsidR="00657C4F">
        <w:rPr>
          <w:rFonts w:ascii="Arial" w:hAnsi="Arial" w:cs="Arial"/>
          <w:sz w:val="24"/>
          <w:szCs w:val="24"/>
        </w:rPr>
        <w:t xml:space="preserve"> (</w:t>
      </w:r>
      <w:r w:rsidR="00657C4F" w:rsidRPr="00076151">
        <w:rPr>
          <w:rFonts w:ascii="Arial" w:hAnsi="Arial" w:cs="Arial"/>
          <w:sz w:val="24"/>
          <w:szCs w:val="24"/>
        </w:rPr>
        <w:t>Russi, 2005).</w:t>
      </w:r>
    </w:p>
    <w:p w14:paraId="3F0F99DE" w14:textId="2E1C80CA" w:rsidR="00977D90" w:rsidRPr="00076151" w:rsidRDefault="00B770B9" w:rsidP="00293406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076151">
        <w:rPr>
          <w:rFonts w:ascii="Arial" w:hAnsi="Arial" w:cs="Arial"/>
          <w:sz w:val="21"/>
          <w:szCs w:val="21"/>
        </w:rPr>
        <w:t xml:space="preserve">Figura </w:t>
      </w:r>
      <w:r w:rsidR="00977D90" w:rsidRPr="00076151">
        <w:rPr>
          <w:rFonts w:ascii="Arial" w:hAnsi="Arial" w:cs="Arial"/>
          <w:sz w:val="21"/>
          <w:szCs w:val="21"/>
        </w:rPr>
        <w:t>1. Depos</w:t>
      </w:r>
      <w:r w:rsidRPr="00076151">
        <w:rPr>
          <w:rFonts w:ascii="Arial" w:hAnsi="Arial" w:cs="Arial"/>
          <w:sz w:val="21"/>
          <w:szCs w:val="21"/>
        </w:rPr>
        <w:t>ición de residuos</w:t>
      </w:r>
    </w:p>
    <w:p w14:paraId="1809B948" w14:textId="03281CE5" w:rsidR="00662DB0" w:rsidRPr="00293406" w:rsidRDefault="006F7096" w:rsidP="00293406">
      <w:pPr>
        <w:spacing w:line="240" w:lineRule="auto"/>
        <w:jc w:val="center"/>
        <w:rPr>
          <w:rFonts w:ascii="Arial" w:hAnsi="Arial" w:cs="Arial"/>
          <w:sz w:val="21"/>
          <w:szCs w:val="21"/>
          <w:highlight w:val="yellow"/>
        </w:rPr>
      </w:pPr>
      <w:r w:rsidRPr="00293406">
        <w:rPr>
          <w:noProof/>
          <w:sz w:val="20"/>
          <w:szCs w:val="20"/>
          <w:highlight w:val="yellow"/>
        </w:rPr>
        <w:drawing>
          <wp:inline distT="0" distB="0" distL="0" distR="0" wp14:anchorId="0ED388C1" wp14:editId="73A41E34">
            <wp:extent cx="4332832" cy="2895600"/>
            <wp:effectExtent l="0" t="0" r="0" b="0"/>
            <wp:docPr id="2" name="Imagen 2" descr="Un atardecer en una montañ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atardecer en una montañ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01" cy="290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1F36" w14:textId="0A958390" w:rsidR="00662DB0" w:rsidRDefault="00662DB0" w:rsidP="00293406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076151">
        <w:rPr>
          <w:rFonts w:ascii="Arial" w:hAnsi="Arial" w:cs="Arial"/>
          <w:sz w:val="21"/>
          <w:szCs w:val="21"/>
        </w:rPr>
        <w:t xml:space="preserve">Fuente: </w:t>
      </w:r>
      <w:r w:rsidR="003A319F" w:rsidRPr="00076151">
        <w:rPr>
          <w:rFonts w:ascii="Arial" w:hAnsi="Arial" w:cs="Arial"/>
          <w:sz w:val="21"/>
          <w:szCs w:val="21"/>
        </w:rPr>
        <w:t>I</w:t>
      </w:r>
      <w:r w:rsidRPr="00076151">
        <w:rPr>
          <w:rFonts w:ascii="Arial" w:hAnsi="Arial" w:cs="Arial"/>
          <w:sz w:val="21"/>
          <w:szCs w:val="21"/>
        </w:rPr>
        <w:t>magen de uso libre recuperada de Pixabay</w:t>
      </w:r>
      <w:r w:rsidR="00293406" w:rsidRPr="00076151">
        <w:rPr>
          <w:rFonts w:ascii="Arial" w:hAnsi="Arial" w:cs="Arial"/>
          <w:sz w:val="21"/>
          <w:szCs w:val="21"/>
        </w:rPr>
        <w:t xml:space="preserve"> (2022).</w:t>
      </w:r>
    </w:p>
    <w:p w14:paraId="2EA2FC93" w14:textId="77777777" w:rsidR="00293406" w:rsidRPr="00293406" w:rsidRDefault="00293406" w:rsidP="00293406">
      <w:pPr>
        <w:spacing w:line="240" w:lineRule="auto"/>
        <w:jc w:val="center"/>
        <w:rPr>
          <w:rFonts w:ascii="Arial" w:hAnsi="Arial" w:cs="Arial"/>
          <w:sz w:val="21"/>
          <w:szCs w:val="21"/>
        </w:rPr>
      </w:pPr>
    </w:p>
    <w:p w14:paraId="048197DB" w14:textId="6DE7017D" w:rsidR="00317BF8" w:rsidRDefault="00E516A3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454EE5">
        <w:rPr>
          <w:rFonts w:ascii="Arial" w:hAnsi="Arial" w:cs="Arial"/>
          <w:sz w:val="24"/>
          <w:szCs w:val="24"/>
        </w:rPr>
        <w:t xml:space="preserve">La deuda </w:t>
      </w:r>
      <w:r w:rsidR="00317BF8">
        <w:rPr>
          <w:rFonts w:ascii="Arial" w:hAnsi="Arial" w:cs="Arial"/>
          <w:sz w:val="24"/>
          <w:szCs w:val="24"/>
        </w:rPr>
        <w:t xml:space="preserve">ecológica y </w:t>
      </w:r>
      <w:r w:rsidRPr="00454EE5">
        <w:rPr>
          <w:rFonts w:ascii="Arial" w:hAnsi="Arial" w:cs="Arial"/>
          <w:sz w:val="24"/>
          <w:szCs w:val="24"/>
        </w:rPr>
        <w:t xml:space="preserve">la deuda </w:t>
      </w:r>
      <w:r w:rsidR="00317BF8">
        <w:rPr>
          <w:rFonts w:ascii="Arial" w:hAnsi="Arial" w:cs="Arial"/>
          <w:sz w:val="24"/>
          <w:szCs w:val="24"/>
        </w:rPr>
        <w:t xml:space="preserve">externa </w:t>
      </w:r>
      <w:r w:rsidRPr="00454EE5">
        <w:rPr>
          <w:rFonts w:ascii="Arial" w:hAnsi="Arial" w:cs="Arial"/>
          <w:sz w:val="24"/>
          <w:szCs w:val="24"/>
        </w:rPr>
        <w:t>están relacionadas</w:t>
      </w:r>
      <w:r w:rsidR="008E4750" w:rsidRPr="00454EE5">
        <w:rPr>
          <w:rFonts w:ascii="Arial" w:hAnsi="Arial" w:cs="Arial"/>
          <w:sz w:val="24"/>
          <w:szCs w:val="24"/>
        </w:rPr>
        <w:t xml:space="preserve"> debido a que la</w:t>
      </w:r>
      <w:r w:rsidRPr="00454EE5">
        <w:rPr>
          <w:rFonts w:ascii="Arial" w:hAnsi="Arial" w:cs="Arial"/>
          <w:sz w:val="24"/>
          <w:szCs w:val="24"/>
        </w:rPr>
        <w:t xml:space="preserve"> obligación </w:t>
      </w:r>
      <w:r w:rsidR="00F27BE3">
        <w:rPr>
          <w:rFonts w:ascii="Arial" w:hAnsi="Arial" w:cs="Arial"/>
          <w:sz w:val="24"/>
          <w:szCs w:val="24"/>
        </w:rPr>
        <w:t xml:space="preserve">que tienen los países del Sur </w:t>
      </w:r>
      <w:r w:rsidRPr="00454EE5">
        <w:rPr>
          <w:rFonts w:ascii="Arial" w:hAnsi="Arial" w:cs="Arial"/>
          <w:sz w:val="24"/>
          <w:szCs w:val="24"/>
        </w:rPr>
        <w:t>de pagar la deuda externa</w:t>
      </w:r>
      <w:r w:rsidR="00F27BE3">
        <w:rPr>
          <w:rFonts w:ascii="Arial" w:hAnsi="Arial" w:cs="Arial"/>
          <w:sz w:val="24"/>
          <w:szCs w:val="24"/>
        </w:rPr>
        <w:t>, los</w:t>
      </w:r>
      <w:r w:rsidRPr="00454EE5">
        <w:rPr>
          <w:rFonts w:ascii="Arial" w:hAnsi="Arial" w:cs="Arial"/>
          <w:sz w:val="24"/>
          <w:szCs w:val="24"/>
        </w:rPr>
        <w:t xml:space="preserve"> </w:t>
      </w:r>
      <w:r w:rsidR="008E4750" w:rsidRPr="00454EE5">
        <w:rPr>
          <w:rFonts w:ascii="Arial" w:hAnsi="Arial" w:cs="Arial"/>
          <w:sz w:val="24"/>
          <w:szCs w:val="24"/>
        </w:rPr>
        <w:t>forza</w:t>
      </w:r>
      <w:r w:rsidRPr="00454EE5">
        <w:rPr>
          <w:rFonts w:ascii="Arial" w:hAnsi="Arial" w:cs="Arial"/>
          <w:sz w:val="24"/>
          <w:szCs w:val="24"/>
        </w:rPr>
        <w:t xml:space="preserve"> a conseguir un excedente monetario obtenido a partir del empobrecimiento de las personas de los países deudores y del abuso de la naturaleza (Martínez</w:t>
      </w:r>
      <w:r w:rsidR="00E66DA4">
        <w:rPr>
          <w:rFonts w:ascii="Arial" w:hAnsi="Arial" w:cs="Arial"/>
          <w:sz w:val="24"/>
          <w:szCs w:val="24"/>
        </w:rPr>
        <w:t xml:space="preserve"> </w:t>
      </w:r>
      <w:r w:rsidRPr="00454EE5">
        <w:rPr>
          <w:rFonts w:ascii="Arial" w:hAnsi="Arial" w:cs="Arial"/>
          <w:sz w:val="24"/>
          <w:szCs w:val="24"/>
        </w:rPr>
        <w:t>Alier, 199</w:t>
      </w:r>
      <w:r w:rsidR="00E66DA4">
        <w:rPr>
          <w:rFonts w:ascii="Arial" w:hAnsi="Arial" w:cs="Arial"/>
          <w:sz w:val="24"/>
          <w:szCs w:val="24"/>
        </w:rPr>
        <w:t>2</w:t>
      </w:r>
      <w:r w:rsidRPr="00454EE5">
        <w:rPr>
          <w:rFonts w:ascii="Arial" w:hAnsi="Arial" w:cs="Arial"/>
          <w:sz w:val="24"/>
          <w:szCs w:val="24"/>
        </w:rPr>
        <w:t>)</w:t>
      </w:r>
      <w:r w:rsidR="00F27BE3">
        <w:rPr>
          <w:rFonts w:ascii="Arial" w:hAnsi="Arial" w:cs="Arial"/>
          <w:sz w:val="24"/>
          <w:szCs w:val="24"/>
        </w:rPr>
        <w:t xml:space="preserve">. </w:t>
      </w:r>
      <w:r w:rsidRPr="00454EE5">
        <w:rPr>
          <w:rFonts w:ascii="Arial" w:hAnsi="Arial" w:cs="Arial"/>
          <w:sz w:val="24"/>
          <w:szCs w:val="24"/>
        </w:rPr>
        <w:t xml:space="preserve">Los países deudores no tienen más solución que la sobreexplotación de sus recursos naturales, aceptando condiciones de intercambio injustas y vendiendo a </w:t>
      </w:r>
      <w:r w:rsidRPr="00454EE5">
        <w:rPr>
          <w:rFonts w:ascii="Arial" w:hAnsi="Arial" w:cs="Arial"/>
          <w:sz w:val="24"/>
          <w:szCs w:val="24"/>
        </w:rPr>
        <w:lastRenderedPageBreak/>
        <w:t>precios de exportación donde no se incorporan, en muchas ocasiones, las</w:t>
      </w:r>
      <w:r w:rsidR="008E4750" w:rsidRPr="00454EE5">
        <w:rPr>
          <w:rFonts w:ascii="Arial" w:hAnsi="Arial" w:cs="Arial"/>
          <w:sz w:val="24"/>
          <w:szCs w:val="24"/>
        </w:rPr>
        <w:t xml:space="preserve"> consecuencias</w:t>
      </w:r>
      <w:r w:rsidRPr="00454EE5">
        <w:rPr>
          <w:rFonts w:ascii="Arial" w:hAnsi="Arial" w:cs="Arial"/>
          <w:sz w:val="24"/>
          <w:szCs w:val="24"/>
        </w:rPr>
        <w:t xml:space="preserve"> </w:t>
      </w:r>
      <w:r w:rsidR="00196B9B" w:rsidRPr="00454EE5">
        <w:rPr>
          <w:rFonts w:ascii="Arial" w:hAnsi="Arial" w:cs="Arial"/>
          <w:sz w:val="24"/>
          <w:szCs w:val="24"/>
        </w:rPr>
        <w:t>ambientales</w:t>
      </w:r>
      <w:r w:rsidR="00B770B9">
        <w:rPr>
          <w:rFonts w:ascii="Arial" w:hAnsi="Arial" w:cs="Arial"/>
          <w:sz w:val="24"/>
          <w:szCs w:val="24"/>
        </w:rPr>
        <w:t xml:space="preserve"> Figura 2</w:t>
      </w:r>
      <w:r w:rsidR="00196B9B" w:rsidRPr="00454EE5">
        <w:rPr>
          <w:rFonts w:ascii="Arial" w:hAnsi="Arial" w:cs="Arial"/>
          <w:sz w:val="24"/>
          <w:szCs w:val="24"/>
        </w:rPr>
        <w:t xml:space="preserve">. </w:t>
      </w:r>
      <w:r w:rsidRPr="00454EE5">
        <w:rPr>
          <w:rFonts w:ascii="Arial" w:hAnsi="Arial" w:cs="Arial"/>
          <w:sz w:val="24"/>
          <w:szCs w:val="24"/>
        </w:rPr>
        <w:t xml:space="preserve">La pobreza lleva a vender a precios </w:t>
      </w:r>
      <w:r w:rsidR="00196B9B" w:rsidRPr="00454EE5">
        <w:rPr>
          <w:rFonts w:ascii="Arial" w:hAnsi="Arial" w:cs="Arial"/>
          <w:sz w:val="24"/>
          <w:szCs w:val="24"/>
        </w:rPr>
        <w:t>ridículos</w:t>
      </w:r>
      <w:r w:rsidRPr="00454EE5">
        <w:rPr>
          <w:rFonts w:ascii="Arial" w:hAnsi="Arial" w:cs="Arial"/>
          <w:sz w:val="24"/>
          <w:szCs w:val="24"/>
        </w:rPr>
        <w:t xml:space="preserve"> el medio ambiente (Martínez</w:t>
      </w:r>
      <w:r w:rsidR="00E66DA4">
        <w:rPr>
          <w:rFonts w:ascii="Arial" w:hAnsi="Arial" w:cs="Arial"/>
          <w:sz w:val="24"/>
          <w:szCs w:val="24"/>
        </w:rPr>
        <w:t xml:space="preserve"> </w:t>
      </w:r>
      <w:r w:rsidRPr="00454EE5">
        <w:rPr>
          <w:rFonts w:ascii="Arial" w:hAnsi="Arial" w:cs="Arial"/>
          <w:sz w:val="24"/>
          <w:szCs w:val="24"/>
        </w:rPr>
        <w:t>Alier, 199</w:t>
      </w:r>
      <w:r w:rsidR="00E66DA4">
        <w:rPr>
          <w:rFonts w:ascii="Arial" w:hAnsi="Arial" w:cs="Arial"/>
          <w:sz w:val="24"/>
          <w:szCs w:val="24"/>
        </w:rPr>
        <w:t>2</w:t>
      </w:r>
      <w:r w:rsidRPr="00454EE5">
        <w:rPr>
          <w:rFonts w:ascii="Arial" w:hAnsi="Arial" w:cs="Arial"/>
          <w:sz w:val="24"/>
          <w:szCs w:val="24"/>
        </w:rPr>
        <w:t>).</w:t>
      </w:r>
    </w:p>
    <w:p w14:paraId="5231073A" w14:textId="3513228D" w:rsidR="00B770B9" w:rsidRPr="00076151" w:rsidRDefault="00B770B9" w:rsidP="005200B2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076151">
        <w:rPr>
          <w:rFonts w:ascii="Arial" w:hAnsi="Arial" w:cs="Arial"/>
          <w:sz w:val="21"/>
          <w:szCs w:val="21"/>
        </w:rPr>
        <w:t xml:space="preserve">Figura 2. Deuda externa </w:t>
      </w:r>
      <w:r w:rsidR="005200B2" w:rsidRPr="00076151">
        <w:rPr>
          <w:rFonts w:ascii="Arial" w:hAnsi="Arial" w:cs="Arial"/>
          <w:sz w:val="21"/>
          <w:szCs w:val="21"/>
        </w:rPr>
        <w:t>"</w:t>
      </w:r>
      <w:r w:rsidRPr="00076151">
        <w:rPr>
          <w:rFonts w:ascii="Arial" w:hAnsi="Arial" w:cs="Arial"/>
          <w:sz w:val="21"/>
          <w:szCs w:val="21"/>
        </w:rPr>
        <w:t>pagada</w:t>
      </w:r>
      <w:r w:rsidR="005200B2" w:rsidRPr="00076151">
        <w:rPr>
          <w:rFonts w:ascii="Arial" w:hAnsi="Arial" w:cs="Arial"/>
          <w:sz w:val="21"/>
          <w:szCs w:val="21"/>
        </w:rPr>
        <w:t>"</w:t>
      </w:r>
      <w:r w:rsidRPr="00076151">
        <w:rPr>
          <w:rFonts w:ascii="Arial" w:hAnsi="Arial" w:cs="Arial"/>
          <w:sz w:val="21"/>
          <w:szCs w:val="21"/>
        </w:rPr>
        <w:t xml:space="preserve"> con la deuda ecológica</w:t>
      </w:r>
      <w:r w:rsidR="005200B2" w:rsidRPr="00076151">
        <w:rPr>
          <w:rFonts w:ascii="Arial" w:hAnsi="Arial" w:cs="Arial"/>
          <w:sz w:val="21"/>
          <w:szCs w:val="21"/>
        </w:rPr>
        <w:t>.</w:t>
      </w:r>
    </w:p>
    <w:p w14:paraId="6DC1729D" w14:textId="7D6E90F1" w:rsidR="002B7339" w:rsidRPr="005200B2" w:rsidRDefault="002B7339" w:rsidP="005200B2">
      <w:pPr>
        <w:spacing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5200B2">
        <w:rPr>
          <w:noProof/>
          <w:sz w:val="20"/>
          <w:szCs w:val="20"/>
          <w:highlight w:val="yellow"/>
        </w:rPr>
        <w:drawing>
          <wp:inline distT="0" distB="0" distL="0" distR="0" wp14:anchorId="3FF29569" wp14:editId="1665B7C2">
            <wp:extent cx="5612130" cy="3741420"/>
            <wp:effectExtent l="0" t="0" r="7620" b="0"/>
            <wp:docPr id="3" name="Imagen 3" descr="Un grupo de personas en un barco en el 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grupo de personas en un barco en el m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7387" w14:textId="7A22E8B2" w:rsidR="00983ECA" w:rsidRPr="005200B2" w:rsidRDefault="00983ECA" w:rsidP="005200B2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076151">
        <w:rPr>
          <w:rFonts w:ascii="Arial" w:hAnsi="Arial" w:cs="Arial"/>
          <w:sz w:val="21"/>
          <w:szCs w:val="21"/>
        </w:rPr>
        <w:t>Fuente: Imagen de uso libre recuperada de Pixabay</w:t>
      </w:r>
      <w:r w:rsidR="005200B2" w:rsidRPr="00076151">
        <w:rPr>
          <w:rFonts w:ascii="Arial" w:hAnsi="Arial" w:cs="Arial"/>
          <w:sz w:val="21"/>
          <w:szCs w:val="21"/>
        </w:rPr>
        <w:t xml:space="preserve"> (2022).</w:t>
      </w:r>
    </w:p>
    <w:p w14:paraId="2845F1DF" w14:textId="77777777" w:rsidR="005200B2" w:rsidRPr="00983ECA" w:rsidRDefault="005200B2" w:rsidP="00983E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C804F4E" w14:textId="787F609D" w:rsidR="000B2C0F" w:rsidRPr="005605AC" w:rsidRDefault="00CD63EE" w:rsidP="005605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CA7A30" w:rsidRPr="005605AC">
        <w:rPr>
          <w:rFonts w:ascii="Arial" w:hAnsi="Arial" w:cs="Arial"/>
          <w:b/>
          <w:bCs/>
          <w:sz w:val="24"/>
          <w:szCs w:val="24"/>
        </w:rPr>
        <w:t>inerales</w:t>
      </w:r>
      <w:r w:rsidR="00726D0B">
        <w:rPr>
          <w:rFonts w:ascii="Arial" w:hAnsi="Arial" w:cs="Arial"/>
          <w:b/>
          <w:bCs/>
          <w:sz w:val="24"/>
          <w:szCs w:val="24"/>
        </w:rPr>
        <w:t>: la cara no renovable de las energías renovables</w:t>
      </w:r>
    </w:p>
    <w:p w14:paraId="477653F8" w14:textId="2B9E8052" w:rsidR="00661D5B" w:rsidRDefault="00CD63EE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 w:rsidR="00C7248C" w:rsidRPr="005605AC">
        <w:rPr>
          <w:rFonts w:ascii="Arial" w:hAnsi="Arial" w:cs="Arial"/>
          <w:sz w:val="24"/>
          <w:szCs w:val="24"/>
        </w:rPr>
        <w:t xml:space="preserve"> energías renovables </w:t>
      </w:r>
      <w:r>
        <w:rPr>
          <w:rFonts w:ascii="Arial" w:hAnsi="Arial" w:cs="Arial"/>
          <w:sz w:val="24"/>
          <w:szCs w:val="24"/>
        </w:rPr>
        <w:t xml:space="preserve">se llaman así </w:t>
      </w:r>
      <w:r w:rsidR="00C7248C" w:rsidRPr="005605AC">
        <w:rPr>
          <w:rFonts w:ascii="Arial" w:hAnsi="Arial" w:cs="Arial"/>
          <w:sz w:val="24"/>
          <w:szCs w:val="24"/>
        </w:rPr>
        <w:t xml:space="preserve">porque utilizan un recurso que tiene la capacidad de restablecerse en un </w:t>
      </w:r>
      <w:r w:rsidR="00FD4475" w:rsidRPr="005605AC">
        <w:rPr>
          <w:rFonts w:ascii="Arial" w:hAnsi="Arial" w:cs="Arial"/>
          <w:sz w:val="24"/>
          <w:szCs w:val="24"/>
        </w:rPr>
        <w:t>plazo</w:t>
      </w:r>
      <w:r w:rsidR="00C7248C" w:rsidRPr="005605AC">
        <w:rPr>
          <w:rFonts w:ascii="Arial" w:hAnsi="Arial" w:cs="Arial"/>
          <w:sz w:val="24"/>
          <w:szCs w:val="24"/>
        </w:rPr>
        <w:t xml:space="preserve"> cort</w:t>
      </w:r>
      <w:r>
        <w:rPr>
          <w:rFonts w:ascii="Arial" w:hAnsi="Arial" w:cs="Arial"/>
          <w:sz w:val="24"/>
          <w:szCs w:val="24"/>
        </w:rPr>
        <w:t xml:space="preserve">o, como </w:t>
      </w:r>
      <w:r w:rsidR="00C7248C" w:rsidRPr="005605AC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S</w:t>
      </w:r>
      <w:r w:rsidR="00C7248C" w:rsidRPr="005605AC">
        <w:rPr>
          <w:rFonts w:ascii="Arial" w:hAnsi="Arial" w:cs="Arial"/>
          <w:sz w:val="24"/>
          <w:szCs w:val="24"/>
        </w:rPr>
        <w:t>ol, el viento, el calor interno de la Tierra, entre otr</w:t>
      </w:r>
      <w:r>
        <w:rPr>
          <w:rFonts w:ascii="Arial" w:hAnsi="Arial" w:cs="Arial"/>
          <w:sz w:val="24"/>
          <w:szCs w:val="24"/>
        </w:rPr>
        <w:t>o</w:t>
      </w:r>
      <w:r w:rsidR="00C7248C" w:rsidRPr="005605AC">
        <w:rPr>
          <w:rFonts w:ascii="Arial" w:hAnsi="Arial" w:cs="Arial"/>
          <w:sz w:val="24"/>
          <w:szCs w:val="24"/>
        </w:rPr>
        <w:t>s</w:t>
      </w:r>
      <w:r w:rsidR="00B770B9">
        <w:rPr>
          <w:rFonts w:ascii="Arial" w:hAnsi="Arial" w:cs="Arial"/>
          <w:sz w:val="24"/>
          <w:szCs w:val="24"/>
        </w:rPr>
        <w:t xml:space="preserve"> Figura 3</w:t>
      </w:r>
      <w:r>
        <w:rPr>
          <w:rFonts w:ascii="Arial" w:hAnsi="Arial" w:cs="Arial"/>
          <w:sz w:val="24"/>
          <w:szCs w:val="24"/>
        </w:rPr>
        <w:t>,</w:t>
      </w:r>
      <w:r w:rsidR="00FD4475" w:rsidRPr="005605AC">
        <w:rPr>
          <w:rFonts w:ascii="Arial" w:hAnsi="Arial" w:cs="Arial"/>
          <w:sz w:val="24"/>
          <w:szCs w:val="24"/>
        </w:rPr>
        <w:t xml:space="preserve"> y es por ello </w:t>
      </w:r>
      <w:r w:rsidR="00C727F6" w:rsidRPr="005605AC">
        <w:rPr>
          <w:rFonts w:ascii="Arial" w:hAnsi="Arial" w:cs="Arial"/>
          <w:sz w:val="24"/>
          <w:szCs w:val="24"/>
        </w:rPr>
        <w:t>que</w:t>
      </w:r>
      <w:r w:rsidR="00FD4475" w:rsidRPr="005605AC">
        <w:rPr>
          <w:rFonts w:ascii="Arial" w:hAnsi="Arial" w:cs="Arial"/>
          <w:sz w:val="24"/>
          <w:szCs w:val="24"/>
        </w:rPr>
        <w:t xml:space="preserve"> sus emisiones de CO</w:t>
      </w:r>
      <w:r w:rsidR="00FD4475" w:rsidRPr="005605AC">
        <w:rPr>
          <w:rFonts w:ascii="Arial" w:hAnsi="Arial" w:cs="Arial"/>
          <w:sz w:val="24"/>
          <w:szCs w:val="24"/>
          <w:vertAlign w:val="subscript"/>
        </w:rPr>
        <w:t>2</w:t>
      </w:r>
      <w:r w:rsidR="00FD4475" w:rsidRPr="005605AC">
        <w:rPr>
          <w:rFonts w:ascii="Arial" w:hAnsi="Arial" w:cs="Arial"/>
          <w:sz w:val="24"/>
          <w:szCs w:val="24"/>
        </w:rPr>
        <w:t xml:space="preserve"> son bajas en comparación con las que </w:t>
      </w:r>
      <w:r w:rsidR="00C727F6" w:rsidRPr="005605AC">
        <w:rPr>
          <w:rFonts w:ascii="Arial" w:hAnsi="Arial" w:cs="Arial"/>
          <w:sz w:val="24"/>
          <w:szCs w:val="24"/>
        </w:rPr>
        <w:t>dependen de los combustibles fósiles. N</w:t>
      </w:r>
      <w:r w:rsidR="00C7248C" w:rsidRPr="005605AC">
        <w:rPr>
          <w:rFonts w:ascii="Arial" w:hAnsi="Arial" w:cs="Arial"/>
          <w:sz w:val="24"/>
          <w:szCs w:val="24"/>
        </w:rPr>
        <w:t>o obstante, el cableado, estructuras, inversor, motor y demás materiales dependen de recursos no renovables. Paradójicamente</w:t>
      </w:r>
      <w:r>
        <w:rPr>
          <w:rFonts w:ascii="Arial" w:hAnsi="Arial" w:cs="Arial"/>
          <w:sz w:val="24"/>
          <w:szCs w:val="24"/>
        </w:rPr>
        <w:t>,</w:t>
      </w:r>
      <w:r w:rsidR="00C7248C" w:rsidRPr="005605AC">
        <w:rPr>
          <w:rFonts w:ascii="Arial" w:hAnsi="Arial" w:cs="Arial"/>
          <w:sz w:val="24"/>
          <w:szCs w:val="24"/>
        </w:rPr>
        <w:t xml:space="preserve"> para que las renovables generen energía dependen de recursos no renovables. </w:t>
      </w:r>
      <w:r w:rsidR="00EB1FDC">
        <w:rPr>
          <w:rFonts w:ascii="Arial" w:hAnsi="Arial" w:cs="Arial"/>
          <w:sz w:val="24"/>
          <w:szCs w:val="24"/>
        </w:rPr>
        <w:t xml:space="preserve">Aunque </w:t>
      </w:r>
      <w:r w:rsidR="00C7248C" w:rsidRPr="005605AC">
        <w:rPr>
          <w:rFonts w:ascii="Arial" w:hAnsi="Arial" w:cs="Arial"/>
          <w:sz w:val="24"/>
          <w:szCs w:val="24"/>
        </w:rPr>
        <w:t xml:space="preserve">estos componentes podrían ser reciclados o reusados, </w:t>
      </w:r>
      <w:r w:rsidR="00EB1FDC">
        <w:rPr>
          <w:rFonts w:ascii="Arial" w:hAnsi="Arial" w:cs="Arial"/>
          <w:sz w:val="24"/>
          <w:szCs w:val="24"/>
        </w:rPr>
        <w:t>esto</w:t>
      </w:r>
      <w:r w:rsidR="00C727F6" w:rsidRPr="005605AC">
        <w:rPr>
          <w:rFonts w:ascii="Arial" w:hAnsi="Arial" w:cs="Arial"/>
          <w:sz w:val="24"/>
          <w:szCs w:val="24"/>
        </w:rPr>
        <w:t xml:space="preserve"> no es </w:t>
      </w:r>
      <w:r w:rsidR="00EB1FDC">
        <w:rPr>
          <w:rFonts w:ascii="Arial" w:hAnsi="Arial" w:cs="Arial"/>
          <w:sz w:val="24"/>
          <w:szCs w:val="24"/>
        </w:rPr>
        <w:t xml:space="preserve">todavía </w:t>
      </w:r>
      <w:r w:rsidR="00C727F6" w:rsidRPr="005605AC">
        <w:rPr>
          <w:rFonts w:ascii="Arial" w:hAnsi="Arial" w:cs="Arial"/>
          <w:sz w:val="24"/>
          <w:szCs w:val="24"/>
        </w:rPr>
        <w:t>una</w:t>
      </w:r>
      <w:r w:rsidR="00EB1FDC">
        <w:rPr>
          <w:rFonts w:ascii="Arial" w:hAnsi="Arial" w:cs="Arial"/>
          <w:sz w:val="24"/>
          <w:szCs w:val="24"/>
        </w:rPr>
        <w:t xml:space="preserve"> completa</w:t>
      </w:r>
      <w:r w:rsidR="00C727F6" w:rsidRPr="005605AC">
        <w:rPr>
          <w:rFonts w:ascii="Arial" w:hAnsi="Arial" w:cs="Arial"/>
          <w:sz w:val="24"/>
          <w:szCs w:val="24"/>
        </w:rPr>
        <w:t xml:space="preserve"> </w:t>
      </w:r>
      <w:r w:rsidR="00EB1FDC">
        <w:rPr>
          <w:rFonts w:ascii="Arial" w:hAnsi="Arial" w:cs="Arial"/>
          <w:sz w:val="24"/>
          <w:szCs w:val="24"/>
        </w:rPr>
        <w:t>solución</w:t>
      </w:r>
      <w:r w:rsidR="00317BF8">
        <w:rPr>
          <w:rFonts w:ascii="Arial" w:hAnsi="Arial" w:cs="Arial"/>
          <w:sz w:val="24"/>
          <w:szCs w:val="24"/>
        </w:rPr>
        <w:t xml:space="preserve"> </w:t>
      </w:r>
      <w:r w:rsidR="00317BF8" w:rsidRPr="005605AC">
        <w:rPr>
          <w:rFonts w:ascii="Arial" w:hAnsi="Arial" w:cs="Arial"/>
          <w:sz w:val="24"/>
          <w:szCs w:val="24"/>
        </w:rPr>
        <w:t xml:space="preserve">debido a la falta de regulación y cultura </w:t>
      </w:r>
      <w:r w:rsidR="00317BF8">
        <w:rPr>
          <w:rFonts w:ascii="Arial" w:hAnsi="Arial" w:cs="Arial"/>
          <w:sz w:val="24"/>
          <w:szCs w:val="24"/>
        </w:rPr>
        <w:t>de reciclaje.</w:t>
      </w:r>
    </w:p>
    <w:p w14:paraId="7AAD826E" w14:textId="6D71C273" w:rsidR="00B770B9" w:rsidRDefault="00B770B9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3DA5CC" w14:textId="358EA10A" w:rsidR="00B770B9" w:rsidRPr="00076151" w:rsidRDefault="00B770B9" w:rsidP="005200B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76151">
        <w:rPr>
          <w:rFonts w:ascii="Arial" w:hAnsi="Arial" w:cs="Arial"/>
          <w:sz w:val="20"/>
          <w:szCs w:val="20"/>
        </w:rPr>
        <w:t>Figura 3. Energías renovables</w:t>
      </w:r>
    </w:p>
    <w:p w14:paraId="1E213B47" w14:textId="309C47FC" w:rsidR="002B7339" w:rsidRPr="00076151" w:rsidRDefault="002B7339" w:rsidP="005200B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76151">
        <w:rPr>
          <w:noProof/>
          <w:sz w:val="18"/>
          <w:szCs w:val="18"/>
        </w:rPr>
        <w:drawing>
          <wp:inline distT="0" distB="0" distL="0" distR="0" wp14:anchorId="5375FD9A" wp14:editId="7389EA8C">
            <wp:extent cx="3859530" cy="2577387"/>
            <wp:effectExtent l="0" t="0" r="7620" b="0"/>
            <wp:docPr id="4" name="Imagen 4" descr="Sol brillando en el ciel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Sol brillando en el ciel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79" cy="25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57AD" w14:textId="3B946E3F" w:rsidR="00983ECA" w:rsidRDefault="00983ECA" w:rsidP="005200B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76151">
        <w:rPr>
          <w:rFonts w:ascii="Arial" w:hAnsi="Arial" w:cs="Arial"/>
          <w:sz w:val="20"/>
          <w:szCs w:val="20"/>
        </w:rPr>
        <w:t>Fuente: Imagen de uso libre recuperada de Pixabay</w:t>
      </w:r>
      <w:r w:rsidR="005200B2" w:rsidRPr="00076151">
        <w:rPr>
          <w:rFonts w:ascii="Arial" w:hAnsi="Arial" w:cs="Arial"/>
          <w:sz w:val="20"/>
          <w:szCs w:val="20"/>
        </w:rPr>
        <w:t xml:space="preserve"> (2022).</w:t>
      </w:r>
    </w:p>
    <w:p w14:paraId="485643FC" w14:textId="77777777" w:rsidR="005200B2" w:rsidRPr="005200B2" w:rsidRDefault="005200B2" w:rsidP="005200B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5397EE7" w14:textId="071BD263" w:rsidR="00454EE5" w:rsidRPr="005605AC" w:rsidRDefault="006721A9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D0B">
        <w:rPr>
          <w:rFonts w:ascii="Arial" w:hAnsi="Arial" w:cs="Arial"/>
          <w:sz w:val="24"/>
          <w:szCs w:val="24"/>
        </w:rPr>
        <w:t xml:space="preserve">Por ejemplo, </w:t>
      </w:r>
      <w:r w:rsidR="00726D0B" w:rsidRPr="005605AC">
        <w:rPr>
          <w:rFonts w:ascii="Arial" w:hAnsi="Arial" w:cs="Arial"/>
          <w:sz w:val="24"/>
          <w:szCs w:val="24"/>
        </w:rPr>
        <w:t xml:space="preserve">en la </w:t>
      </w:r>
      <w:r w:rsidR="00726D0B">
        <w:rPr>
          <w:rFonts w:ascii="Arial" w:hAnsi="Arial" w:cs="Arial"/>
          <w:sz w:val="24"/>
          <w:szCs w:val="24"/>
        </w:rPr>
        <w:t>t</w:t>
      </w:r>
      <w:r w:rsidR="00726D0B" w:rsidRPr="005605AC">
        <w:rPr>
          <w:rFonts w:ascii="Arial" w:hAnsi="Arial" w:cs="Arial"/>
          <w:sz w:val="24"/>
          <w:szCs w:val="24"/>
        </w:rPr>
        <w:t>abla 1</w:t>
      </w:r>
      <w:r w:rsidR="00726D0B">
        <w:rPr>
          <w:rFonts w:ascii="Arial" w:hAnsi="Arial" w:cs="Arial"/>
          <w:sz w:val="24"/>
          <w:szCs w:val="24"/>
        </w:rPr>
        <w:t xml:space="preserve"> se muestran l</w:t>
      </w:r>
      <w:r w:rsidR="002967D4" w:rsidRPr="005605AC">
        <w:rPr>
          <w:rFonts w:ascii="Arial" w:hAnsi="Arial" w:cs="Arial"/>
          <w:sz w:val="24"/>
          <w:szCs w:val="24"/>
        </w:rPr>
        <w:t xml:space="preserve">os metales usados en la generación de electricidad por </w:t>
      </w:r>
      <w:r w:rsidR="00673D1D" w:rsidRPr="005605AC">
        <w:rPr>
          <w:rFonts w:ascii="Arial" w:hAnsi="Arial" w:cs="Arial"/>
          <w:sz w:val="24"/>
          <w:szCs w:val="24"/>
        </w:rPr>
        <w:t>solar fotovoltaica</w:t>
      </w:r>
      <w:r w:rsidR="002967D4" w:rsidRPr="005605AC">
        <w:rPr>
          <w:rFonts w:ascii="Arial" w:hAnsi="Arial" w:cs="Arial"/>
          <w:sz w:val="24"/>
          <w:szCs w:val="24"/>
        </w:rPr>
        <w:t xml:space="preserve"> (SFV)</w:t>
      </w:r>
      <w:r w:rsidR="00673D1D" w:rsidRPr="005605AC">
        <w:rPr>
          <w:rFonts w:ascii="Arial" w:hAnsi="Arial" w:cs="Arial"/>
          <w:sz w:val="24"/>
          <w:szCs w:val="24"/>
        </w:rPr>
        <w:t xml:space="preserve">, </w:t>
      </w:r>
      <w:r w:rsidR="002967D4" w:rsidRPr="005605AC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í como la</w:t>
      </w:r>
      <w:r w:rsidRPr="005605AC">
        <w:rPr>
          <w:rFonts w:ascii="Arial" w:hAnsi="Arial" w:cs="Arial"/>
          <w:sz w:val="24"/>
          <w:szCs w:val="24"/>
        </w:rPr>
        <w:t xml:space="preserve"> </w:t>
      </w:r>
      <w:r w:rsidR="00003FE6" w:rsidRPr="005605AC">
        <w:rPr>
          <w:rFonts w:ascii="Arial" w:hAnsi="Arial" w:cs="Arial"/>
          <w:sz w:val="24"/>
          <w:szCs w:val="24"/>
        </w:rPr>
        <w:t xml:space="preserve">cantidad de toneladas por MW </w:t>
      </w:r>
      <w:r>
        <w:rPr>
          <w:rFonts w:ascii="Arial" w:hAnsi="Arial" w:cs="Arial"/>
          <w:sz w:val="24"/>
          <w:szCs w:val="24"/>
        </w:rPr>
        <w:t xml:space="preserve">que </w:t>
      </w:r>
      <w:r w:rsidR="00003FE6" w:rsidRPr="005605AC">
        <w:rPr>
          <w:rFonts w:ascii="Arial" w:hAnsi="Arial" w:cs="Arial"/>
          <w:sz w:val="24"/>
          <w:szCs w:val="24"/>
        </w:rPr>
        <w:t>se requieren</w:t>
      </w:r>
      <w:r w:rsidR="002967D4" w:rsidRPr="005605AC">
        <w:rPr>
          <w:rFonts w:ascii="Arial" w:hAnsi="Arial" w:cs="Arial"/>
          <w:sz w:val="24"/>
          <w:szCs w:val="24"/>
        </w:rPr>
        <w:t>.</w:t>
      </w:r>
    </w:p>
    <w:p w14:paraId="68C6BB57" w14:textId="54712B01" w:rsidR="00673D1D" w:rsidRPr="00076151" w:rsidRDefault="002967D4" w:rsidP="005605A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3F6F0F">
        <w:rPr>
          <w:rFonts w:ascii="Arial" w:hAnsi="Arial" w:cs="Arial"/>
          <w:sz w:val="21"/>
          <w:szCs w:val="21"/>
        </w:rPr>
        <w:t xml:space="preserve">Tabla 1. Requerimientos de materiales para la construcción de </w:t>
      </w:r>
      <w:r w:rsidRPr="00076151">
        <w:rPr>
          <w:rFonts w:ascii="Arial" w:hAnsi="Arial" w:cs="Arial"/>
          <w:sz w:val="21"/>
          <w:szCs w:val="21"/>
        </w:rPr>
        <w:t>una planta solar fotovoltaica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843"/>
      </w:tblGrid>
      <w:tr w:rsidR="00E61FB2" w:rsidRPr="00076151" w14:paraId="07EF8D5F" w14:textId="1FD0FF15" w:rsidTr="00195CCB">
        <w:trPr>
          <w:jc w:val="center"/>
        </w:trPr>
        <w:tc>
          <w:tcPr>
            <w:tcW w:w="2263" w:type="dxa"/>
            <w:vAlign w:val="center"/>
          </w:tcPr>
          <w:p w14:paraId="4374E946" w14:textId="78A54EF2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  <w:tc>
          <w:tcPr>
            <w:tcW w:w="1843" w:type="dxa"/>
            <w:vAlign w:val="center"/>
          </w:tcPr>
          <w:p w14:paraId="77260089" w14:textId="21204ECD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Toneladas/MW</w:t>
            </w:r>
          </w:p>
        </w:tc>
        <w:tc>
          <w:tcPr>
            <w:tcW w:w="1843" w:type="dxa"/>
          </w:tcPr>
          <w:p w14:paraId="2FD685EC" w14:textId="15D982D5" w:rsidR="00E61FB2" w:rsidRPr="00076151" w:rsidRDefault="00164CE8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P</w:t>
            </w:r>
            <w:r w:rsidRPr="00076151">
              <w:rPr>
                <w:sz w:val="18"/>
                <w:szCs w:val="18"/>
              </w:rPr>
              <w:t xml:space="preserve">eso mexicano por tonelada </w:t>
            </w:r>
            <w:r w:rsidR="00C02685" w:rsidRPr="00076151">
              <w:rPr>
                <w:sz w:val="18"/>
                <w:szCs w:val="18"/>
              </w:rPr>
              <w:t>(World Bank, 2021)</w:t>
            </w:r>
          </w:p>
        </w:tc>
      </w:tr>
      <w:tr w:rsidR="00E61FB2" w:rsidRPr="00076151" w14:paraId="3A0D63F4" w14:textId="53DC788A" w:rsidTr="00195CCB">
        <w:trPr>
          <w:jc w:val="center"/>
        </w:trPr>
        <w:tc>
          <w:tcPr>
            <w:tcW w:w="2263" w:type="dxa"/>
            <w:vAlign w:val="center"/>
          </w:tcPr>
          <w:p w14:paraId="0C0F23E5" w14:textId="40A56C58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Hierro (Fe)</w:t>
            </w:r>
          </w:p>
        </w:tc>
        <w:tc>
          <w:tcPr>
            <w:tcW w:w="1843" w:type="dxa"/>
            <w:vAlign w:val="center"/>
          </w:tcPr>
          <w:p w14:paraId="3BE0CC60" w14:textId="1FF10A9F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1843" w:type="dxa"/>
          </w:tcPr>
          <w:p w14:paraId="4C091CC0" w14:textId="32035712" w:rsidR="00E61FB2" w:rsidRPr="00076151" w:rsidRDefault="007C1674" w:rsidP="00F2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26,31</w:t>
            </w:r>
          </w:p>
        </w:tc>
      </w:tr>
      <w:tr w:rsidR="00E61FB2" w:rsidRPr="00076151" w14:paraId="074AED98" w14:textId="14A0CAB1" w:rsidTr="00195CCB">
        <w:trPr>
          <w:jc w:val="center"/>
        </w:trPr>
        <w:tc>
          <w:tcPr>
            <w:tcW w:w="2263" w:type="dxa"/>
            <w:vAlign w:val="center"/>
          </w:tcPr>
          <w:p w14:paraId="2EC062C1" w14:textId="6F2BAB67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Aluminio (Al)</w:t>
            </w:r>
          </w:p>
        </w:tc>
        <w:tc>
          <w:tcPr>
            <w:tcW w:w="1843" w:type="dxa"/>
            <w:vAlign w:val="center"/>
          </w:tcPr>
          <w:p w14:paraId="25995B29" w14:textId="6529D6C0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14:paraId="778CB313" w14:textId="39E16282" w:rsidR="00E61FB2" w:rsidRPr="00076151" w:rsidRDefault="000B1E6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56.749,98</w:t>
            </w:r>
          </w:p>
        </w:tc>
      </w:tr>
      <w:tr w:rsidR="00E61FB2" w:rsidRPr="00076151" w14:paraId="3870F949" w14:textId="6BBEEABE" w:rsidTr="00195CCB">
        <w:trPr>
          <w:jc w:val="center"/>
        </w:trPr>
        <w:tc>
          <w:tcPr>
            <w:tcW w:w="2263" w:type="dxa"/>
            <w:vAlign w:val="center"/>
          </w:tcPr>
          <w:p w14:paraId="60898E73" w14:textId="03662D33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Cobre (Cu)</w:t>
            </w:r>
          </w:p>
        </w:tc>
        <w:tc>
          <w:tcPr>
            <w:tcW w:w="1843" w:type="dxa"/>
            <w:vAlign w:val="center"/>
          </w:tcPr>
          <w:p w14:paraId="182AAE64" w14:textId="42BFA657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843" w:type="dxa"/>
          </w:tcPr>
          <w:p w14:paraId="16406B32" w14:textId="0A812FDD" w:rsidR="00E61FB2" w:rsidRPr="00076151" w:rsidRDefault="007C1674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188.018,70</w:t>
            </w:r>
          </w:p>
        </w:tc>
      </w:tr>
      <w:tr w:rsidR="00E61FB2" w:rsidRPr="00076151" w14:paraId="0E361D59" w14:textId="405D0D7E" w:rsidTr="00195CCB">
        <w:trPr>
          <w:jc w:val="center"/>
        </w:trPr>
        <w:tc>
          <w:tcPr>
            <w:tcW w:w="2263" w:type="dxa"/>
            <w:vAlign w:val="center"/>
          </w:tcPr>
          <w:p w14:paraId="61183FE2" w14:textId="7A94D126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Acero</w:t>
            </w:r>
          </w:p>
        </w:tc>
        <w:tc>
          <w:tcPr>
            <w:tcW w:w="1843" w:type="dxa"/>
            <w:vAlign w:val="center"/>
          </w:tcPr>
          <w:p w14:paraId="7A579D2F" w14:textId="4D5D2994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CDB7AAE" w14:textId="2E1C68F9" w:rsidR="00E61FB2" w:rsidRPr="00076151" w:rsidRDefault="00431DC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 xml:space="preserve">Sin dato </w:t>
            </w:r>
          </w:p>
        </w:tc>
      </w:tr>
      <w:tr w:rsidR="00E61FB2" w:rsidRPr="00076151" w14:paraId="76AA0185" w14:textId="1AFE523C" w:rsidTr="00195CCB">
        <w:trPr>
          <w:jc w:val="center"/>
        </w:trPr>
        <w:tc>
          <w:tcPr>
            <w:tcW w:w="2263" w:type="dxa"/>
            <w:vAlign w:val="center"/>
          </w:tcPr>
          <w:p w14:paraId="4D1089D1" w14:textId="2A87710C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Cromo (Cr)</w:t>
            </w:r>
          </w:p>
        </w:tc>
        <w:tc>
          <w:tcPr>
            <w:tcW w:w="1843" w:type="dxa"/>
            <w:vAlign w:val="center"/>
          </w:tcPr>
          <w:p w14:paraId="0E83F065" w14:textId="7ED0AC28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843" w:type="dxa"/>
          </w:tcPr>
          <w:p w14:paraId="29A5864A" w14:textId="28E991DF" w:rsidR="00E61FB2" w:rsidRPr="00076151" w:rsidRDefault="00431DC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Sin dato</w:t>
            </w:r>
          </w:p>
        </w:tc>
      </w:tr>
      <w:tr w:rsidR="00E61FB2" w:rsidRPr="00076151" w14:paraId="494685F1" w14:textId="4E1D8B17" w:rsidTr="00195CCB">
        <w:trPr>
          <w:jc w:val="center"/>
        </w:trPr>
        <w:tc>
          <w:tcPr>
            <w:tcW w:w="2263" w:type="dxa"/>
            <w:vAlign w:val="center"/>
          </w:tcPr>
          <w:p w14:paraId="7309394F" w14:textId="5F5CB6EF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 xml:space="preserve"> Manganeso (Mn)</w:t>
            </w:r>
          </w:p>
        </w:tc>
        <w:tc>
          <w:tcPr>
            <w:tcW w:w="1843" w:type="dxa"/>
            <w:vAlign w:val="center"/>
          </w:tcPr>
          <w:p w14:paraId="43E87E6A" w14:textId="2C3D2B4B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843" w:type="dxa"/>
          </w:tcPr>
          <w:p w14:paraId="5E6DD2C3" w14:textId="13E95362" w:rsidR="00E61FB2" w:rsidRPr="00076151" w:rsidRDefault="00431DC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Sin dato</w:t>
            </w:r>
          </w:p>
        </w:tc>
      </w:tr>
      <w:tr w:rsidR="00E61FB2" w:rsidRPr="00076151" w14:paraId="140D5913" w14:textId="363B61C6" w:rsidTr="00195CCB">
        <w:trPr>
          <w:jc w:val="center"/>
        </w:trPr>
        <w:tc>
          <w:tcPr>
            <w:tcW w:w="2263" w:type="dxa"/>
            <w:vAlign w:val="center"/>
          </w:tcPr>
          <w:p w14:paraId="318D5BCC" w14:textId="10020CCC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Estaño (Sn)</w:t>
            </w:r>
          </w:p>
        </w:tc>
        <w:tc>
          <w:tcPr>
            <w:tcW w:w="1843" w:type="dxa"/>
            <w:vAlign w:val="center"/>
          </w:tcPr>
          <w:p w14:paraId="17077482" w14:textId="3845CCC7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1843" w:type="dxa"/>
          </w:tcPr>
          <w:p w14:paraId="1F22C817" w14:textId="7CA38D93" w:rsidR="00E61FB2" w:rsidRPr="00076151" w:rsidRDefault="000B1E6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717.202,30</w:t>
            </w:r>
          </w:p>
        </w:tc>
      </w:tr>
      <w:tr w:rsidR="00E61FB2" w:rsidRPr="00076151" w14:paraId="1EB0993B" w14:textId="1462E80F" w:rsidTr="00195CCB">
        <w:trPr>
          <w:jc w:val="center"/>
        </w:trPr>
        <w:tc>
          <w:tcPr>
            <w:tcW w:w="2263" w:type="dxa"/>
            <w:vAlign w:val="center"/>
          </w:tcPr>
          <w:p w14:paraId="0B6B511E" w14:textId="2506D399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Níquel (Ni)</w:t>
            </w:r>
          </w:p>
        </w:tc>
        <w:tc>
          <w:tcPr>
            <w:tcW w:w="1843" w:type="dxa"/>
            <w:vAlign w:val="center"/>
          </w:tcPr>
          <w:p w14:paraId="2F139E67" w14:textId="31544081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1843" w:type="dxa"/>
          </w:tcPr>
          <w:p w14:paraId="316D48CA" w14:textId="1E925DDA" w:rsidR="00E61FB2" w:rsidRPr="00076151" w:rsidRDefault="000B1E6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562.674,60</w:t>
            </w:r>
          </w:p>
        </w:tc>
      </w:tr>
      <w:tr w:rsidR="00E61FB2" w:rsidRPr="00076151" w14:paraId="1A73E5BF" w14:textId="488E2FD8" w:rsidTr="00195CCB">
        <w:trPr>
          <w:jc w:val="center"/>
        </w:trPr>
        <w:tc>
          <w:tcPr>
            <w:tcW w:w="2263" w:type="dxa"/>
            <w:vAlign w:val="center"/>
          </w:tcPr>
          <w:p w14:paraId="7F912EB6" w14:textId="68D79AE2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Zinc (Zn)</w:t>
            </w:r>
          </w:p>
        </w:tc>
        <w:tc>
          <w:tcPr>
            <w:tcW w:w="1843" w:type="dxa"/>
            <w:vAlign w:val="center"/>
          </w:tcPr>
          <w:p w14:paraId="7FB9EADC" w14:textId="1ADDF06A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0.1625</w:t>
            </w:r>
          </w:p>
        </w:tc>
        <w:tc>
          <w:tcPr>
            <w:tcW w:w="1843" w:type="dxa"/>
          </w:tcPr>
          <w:p w14:paraId="11CE4FBB" w14:textId="3EF22CC6" w:rsidR="00E61FB2" w:rsidRPr="00076151" w:rsidRDefault="007C1674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75.219,91</w:t>
            </w:r>
          </w:p>
        </w:tc>
      </w:tr>
      <w:tr w:rsidR="00E61FB2" w:rsidRPr="00076151" w14:paraId="2EAD1A6D" w14:textId="32D57FBE" w:rsidTr="00195CCB">
        <w:trPr>
          <w:jc w:val="center"/>
        </w:trPr>
        <w:tc>
          <w:tcPr>
            <w:tcW w:w="2263" w:type="dxa"/>
            <w:vAlign w:val="center"/>
          </w:tcPr>
          <w:p w14:paraId="228E55BC" w14:textId="2EF81CFA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Magnesio (Mg)</w:t>
            </w:r>
          </w:p>
        </w:tc>
        <w:tc>
          <w:tcPr>
            <w:tcW w:w="1843" w:type="dxa"/>
            <w:vAlign w:val="center"/>
          </w:tcPr>
          <w:p w14:paraId="497BD527" w14:textId="77AFD208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0.0535</w:t>
            </w:r>
          </w:p>
        </w:tc>
        <w:tc>
          <w:tcPr>
            <w:tcW w:w="1843" w:type="dxa"/>
          </w:tcPr>
          <w:p w14:paraId="43926873" w14:textId="58E2B3C5" w:rsidR="00E61FB2" w:rsidRPr="00076151" w:rsidRDefault="00431DC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Sin dato</w:t>
            </w:r>
          </w:p>
        </w:tc>
      </w:tr>
      <w:tr w:rsidR="00E61FB2" w:rsidRPr="00076151" w14:paraId="5A194C41" w14:textId="62BDE81B" w:rsidTr="00195CCB">
        <w:trPr>
          <w:jc w:val="center"/>
        </w:trPr>
        <w:tc>
          <w:tcPr>
            <w:tcW w:w="2263" w:type="dxa"/>
            <w:vAlign w:val="center"/>
          </w:tcPr>
          <w:p w14:paraId="619ABD48" w14:textId="6BE65591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Molibdeno (Mo)</w:t>
            </w:r>
          </w:p>
        </w:tc>
        <w:tc>
          <w:tcPr>
            <w:tcW w:w="1843" w:type="dxa"/>
            <w:vAlign w:val="center"/>
          </w:tcPr>
          <w:p w14:paraId="085C5AF0" w14:textId="7E6D97E7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843" w:type="dxa"/>
          </w:tcPr>
          <w:p w14:paraId="2A7E35F7" w14:textId="7955EEBA" w:rsidR="00E61FB2" w:rsidRPr="00076151" w:rsidRDefault="00431DC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Sin dato</w:t>
            </w:r>
          </w:p>
        </w:tc>
      </w:tr>
      <w:tr w:rsidR="00E61FB2" w:rsidRPr="00076151" w14:paraId="6EE63E83" w14:textId="46E91C9F" w:rsidTr="00195CCB">
        <w:trPr>
          <w:jc w:val="center"/>
        </w:trPr>
        <w:tc>
          <w:tcPr>
            <w:tcW w:w="2263" w:type="dxa"/>
            <w:vAlign w:val="center"/>
          </w:tcPr>
          <w:p w14:paraId="178F33C1" w14:textId="4D697F6A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Plata (Ag)</w:t>
            </w:r>
          </w:p>
        </w:tc>
        <w:tc>
          <w:tcPr>
            <w:tcW w:w="1843" w:type="dxa"/>
            <w:vAlign w:val="center"/>
          </w:tcPr>
          <w:p w14:paraId="6BC13A4B" w14:textId="6349E125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0.0467</w:t>
            </w:r>
          </w:p>
        </w:tc>
        <w:tc>
          <w:tcPr>
            <w:tcW w:w="1843" w:type="dxa"/>
          </w:tcPr>
          <w:p w14:paraId="77FBDC12" w14:textId="1A83DC5D" w:rsidR="00E61FB2" w:rsidRPr="00076151" w:rsidRDefault="000B1E6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1.757,25</w:t>
            </w:r>
          </w:p>
        </w:tc>
      </w:tr>
      <w:tr w:rsidR="00E61FB2" w:rsidRPr="00076151" w14:paraId="53721CC8" w14:textId="1436965A" w:rsidTr="00195CCB">
        <w:trPr>
          <w:jc w:val="center"/>
        </w:trPr>
        <w:tc>
          <w:tcPr>
            <w:tcW w:w="2263" w:type="dxa"/>
            <w:vAlign w:val="center"/>
          </w:tcPr>
          <w:p w14:paraId="11F91DC1" w14:textId="244F27E7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Plomo (Pb)</w:t>
            </w:r>
          </w:p>
        </w:tc>
        <w:tc>
          <w:tcPr>
            <w:tcW w:w="1843" w:type="dxa"/>
            <w:vAlign w:val="center"/>
          </w:tcPr>
          <w:p w14:paraId="1CF739D3" w14:textId="0BBA8C22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0.0212</w:t>
            </w:r>
          </w:p>
        </w:tc>
        <w:tc>
          <w:tcPr>
            <w:tcW w:w="1843" w:type="dxa"/>
          </w:tcPr>
          <w:p w14:paraId="0D32BF42" w14:textId="38969496" w:rsidR="00E61FB2" w:rsidRPr="00076151" w:rsidRDefault="007C1674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42.958,29</w:t>
            </w:r>
          </w:p>
        </w:tc>
      </w:tr>
      <w:tr w:rsidR="00E61FB2" w:rsidRPr="00076151" w14:paraId="3252B1D8" w14:textId="6EE0022B" w:rsidTr="00195CCB">
        <w:trPr>
          <w:jc w:val="center"/>
        </w:trPr>
        <w:tc>
          <w:tcPr>
            <w:tcW w:w="2263" w:type="dxa"/>
            <w:vAlign w:val="center"/>
          </w:tcPr>
          <w:p w14:paraId="5BC70949" w14:textId="0E9EA535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Titanio (Ti)</w:t>
            </w:r>
          </w:p>
        </w:tc>
        <w:tc>
          <w:tcPr>
            <w:tcW w:w="1843" w:type="dxa"/>
            <w:vAlign w:val="center"/>
          </w:tcPr>
          <w:p w14:paraId="7DBC0D2F" w14:textId="7734A636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0.00625</w:t>
            </w:r>
          </w:p>
        </w:tc>
        <w:tc>
          <w:tcPr>
            <w:tcW w:w="1843" w:type="dxa"/>
          </w:tcPr>
          <w:p w14:paraId="22C0187E" w14:textId="4DDBC640" w:rsidR="00E61FB2" w:rsidRPr="00076151" w:rsidRDefault="00431DC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Sin dato</w:t>
            </w:r>
          </w:p>
        </w:tc>
      </w:tr>
      <w:tr w:rsidR="00E61FB2" w:rsidRPr="00076151" w14:paraId="5898E0FF" w14:textId="3E7870C4" w:rsidTr="00195CCB">
        <w:trPr>
          <w:jc w:val="center"/>
        </w:trPr>
        <w:tc>
          <w:tcPr>
            <w:tcW w:w="2263" w:type="dxa"/>
            <w:vAlign w:val="center"/>
          </w:tcPr>
          <w:p w14:paraId="297D895B" w14:textId="39D95C28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Cadmio (Cd)</w:t>
            </w:r>
          </w:p>
        </w:tc>
        <w:tc>
          <w:tcPr>
            <w:tcW w:w="1843" w:type="dxa"/>
            <w:vAlign w:val="center"/>
          </w:tcPr>
          <w:p w14:paraId="500B3263" w14:textId="62B12BCB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0.0061</w:t>
            </w:r>
          </w:p>
        </w:tc>
        <w:tc>
          <w:tcPr>
            <w:tcW w:w="1843" w:type="dxa"/>
          </w:tcPr>
          <w:p w14:paraId="2D8AE49F" w14:textId="63F9042E" w:rsidR="00E61FB2" w:rsidRPr="00076151" w:rsidRDefault="00431DC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Sin dato</w:t>
            </w:r>
          </w:p>
        </w:tc>
      </w:tr>
      <w:tr w:rsidR="00E61FB2" w:rsidRPr="00076151" w14:paraId="64BA802A" w14:textId="4471844C" w:rsidTr="00195CCB">
        <w:trPr>
          <w:jc w:val="center"/>
        </w:trPr>
        <w:tc>
          <w:tcPr>
            <w:tcW w:w="2263" w:type="dxa"/>
            <w:vAlign w:val="center"/>
          </w:tcPr>
          <w:p w14:paraId="7BFC7917" w14:textId="41E9EC9A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Teluro (Te)</w:t>
            </w:r>
          </w:p>
        </w:tc>
        <w:tc>
          <w:tcPr>
            <w:tcW w:w="1843" w:type="dxa"/>
            <w:vAlign w:val="center"/>
          </w:tcPr>
          <w:p w14:paraId="1FBE5B1F" w14:textId="4626B253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0.0047</w:t>
            </w:r>
          </w:p>
        </w:tc>
        <w:tc>
          <w:tcPr>
            <w:tcW w:w="1843" w:type="dxa"/>
          </w:tcPr>
          <w:p w14:paraId="51ED3DF6" w14:textId="35920A84" w:rsidR="00E61FB2" w:rsidRPr="00076151" w:rsidRDefault="00431DC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Sin dato</w:t>
            </w:r>
          </w:p>
        </w:tc>
      </w:tr>
      <w:tr w:rsidR="00E61FB2" w:rsidRPr="00076151" w14:paraId="7ED20C64" w14:textId="156EE4DB" w:rsidTr="00195CCB">
        <w:trPr>
          <w:jc w:val="center"/>
        </w:trPr>
        <w:tc>
          <w:tcPr>
            <w:tcW w:w="2263" w:type="dxa"/>
            <w:vAlign w:val="center"/>
          </w:tcPr>
          <w:p w14:paraId="61D3A52C" w14:textId="559406F2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Indio (In)</w:t>
            </w:r>
          </w:p>
        </w:tc>
        <w:tc>
          <w:tcPr>
            <w:tcW w:w="1843" w:type="dxa"/>
            <w:vAlign w:val="center"/>
          </w:tcPr>
          <w:p w14:paraId="0F7461A1" w14:textId="2ADB683A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0.0045</w:t>
            </w:r>
          </w:p>
        </w:tc>
        <w:tc>
          <w:tcPr>
            <w:tcW w:w="1843" w:type="dxa"/>
          </w:tcPr>
          <w:p w14:paraId="5A4E5AE8" w14:textId="21629DAD" w:rsidR="00E61FB2" w:rsidRPr="00076151" w:rsidRDefault="00431DCF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Sin dato</w:t>
            </w:r>
          </w:p>
        </w:tc>
      </w:tr>
      <w:tr w:rsidR="00E61FB2" w:rsidRPr="00076151" w14:paraId="33F14BED" w14:textId="0B025CB6" w:rsidTr="00195CCB">
        <w:trPr>
          <w:jc w:val="center"/>
        </w:trPr>
        <w:tc>
          <w:tcPr>
            <w:tcW w:w="2263" w:type="dxa"/>
            <w:vAlign w:val="center"/>
          </w:tcPr>
          <w:p w14:paraId="5B324D4A" w14:textId="3E3A4BA4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Vanadio (V)</w:t>
            </w:r>
          </w:p>
        </w:tc>
        <w:tc>
          <w:tcPr>
            <w:tcW w:w="1843" w:type="dxa"/>
            <w:vAlign w:val="center"/>
          </w:tcPr>
          <w:p w14:paraId="33CBFE8E" w14:textId="5D74B2DC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0.000475</w:t>
            </w:r>
          </w:p>
        </w:tc>
        <w:tc>
          <w:tcPr>
            <w:tcW w:w="1843" w:type="dxa"/>
          </w:tcPr>
          <w:p w14:paraId="74AB7134" w14:textId="0DB9F547" w:rsidR="00E61FB2" w:rsidRPr="00076151" w:rsidRDefault="00F25EA1" w:rsidP="00F25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Sin dato</w:t>
            </w:r>
          </w:p>
        </w:tc>
      </w:tr>
      <w:tr w:rsidR="00E61FB2" w:rsidRPr="00076151" w14:paraId="13216E51" w14:textId="7022D5D8" w:rsidTr="00195CCB">
        <w:trPr>
          <w:jc w:val="center"/>
        </w:trPr>
        <w:tc>
          <w:tcPr>
            <w:tcW w:w="2263" w:type="dxa"/>
            <w:vAlign w:val="center"/>
          </w:tcPr>
          <w:p w14:paraId="4AFAA1BB" w14:textId="60FE8B6B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Galio (Ga)</w:t>
            </w:r>
          </w:p>
        </w:tc>
        <w:tc>
          <w:tcPr>
            <w:tcW w:w="1843" w:type="dxa"/>
            <w:vAlign w:val="center"/>
          </w:tcPr>
          <w:p w14:paraId="0C1B6C96" w14:textId="20377E7C" w:rsidR="00E61FB2" w:rsidRPr="00076151" w:rsidRDefault="00E61FB2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0.0003</w:t>
            </w:r>
          </w:p>
        </w:tc>
        <w:tc>
          <w:tcPr>
            <w:tcW w:w="1843" w:type="dxa"/>
          </w:tcPr>
          <w:p w14:paraId="0372A659" w14:textId="10259B0D" w:rsidR="00E61FB2" w:rsidRPr="00076151" w:rsidRDefault="00F25EA1" w:rsidP="00726D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151">
              <w:rPr>
                <w:rFonts w:ascii="Arial" w:hAnsi="Arial" w:cs="Arial"/>
                <w:sz w:val="18"/>
                <w:szCs w:val="18"/>
              </w:rPr>
              <w:t>Sin dato</w:t>
            </w:r>
          </w:p>
        </w:tc>
      </w:tr>
    </w:tbl>
    <w:p w14:paraId="4ED689C4" w14:textId="08717004" w:rsidR="00EB7156" w:rsidRPr="003F6F0F" w:rsidRDefault="00D24A16" w:rsidP="00C026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76151">
        <w:rPr>
          <w:rFonts w:ascii="Arial" w:hAnsi="Arial" w:cs="Arial"/>
          <w:sz w:val="20"/>
          <w:szCs w:val="20"/>
        </w:rPr>
        <w:t xml:space="preserve">  </w:t>
      </w:r>
      <w:r w:rsidR="00446FD2" w:rsidRPr="00076151">
        <w:rPr>
          <w:rFonts w:ascii="Arial" w:hAnsi="Arial" w:cs="Arial"/>
          <w:sz w:val="20"/>
          <w:szCs w:val="20"/>
        </w:rPr>
        <w:t xml:space="preserve">Fuente: </w:t>
      </w:r>
      <w:r w:rsidR="00810DA2" w:rsidRPr="00076151">
        <w:rPr>
          <w:rFonts w:ascii="Arial" w:hAnsi="Arial" w:cs="Arial"/>
          <w:sz w:val="20"/>
          <w:szCs w:val="20"/>
        </w:rPr>
        <w:t>(Capellán-Pérez et al., 2017).</w:t>
      </w:r>
    </w:p>
    <w:p w14:paraId="22DE11FF" w14:textId="435909A2" w:rsidR="00CA7A30" w:rsidRPr="005605AC" w:rsidRDefault="006721A9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E75E0" w:rsidRPr="005605AC">
        <w:rPr>
          <w:rFonts w:ascii="Arial" w:hAnsi="Arial" w:cs="Arial"/>
          <w:sz w:val="24"/>
          <w:szCs w:val="24"/>
        </w:rPr>
        <w:t>Se observa que las plantas SFV requieren una amplia diversidad de minerales</w:t>
      </w:r>
      <w:r w:rsidR="001961B0">
        <w:rPr>
          <w:rFonts w:ascii="Arial" w:hAnsi="Arial" w:cs="Arial"/>
          <w:sz w:val="24"/>
          <w:szCs w:val="24"/>
        </w:rPr>
        <w:t xml:space="preserve">, </w:t>
      </w:r>
      <w:r w:rsidR="002E75E0" w:rsidRPr="005605AC">
        <w:rPr>
          <w:rFonts w:ascii="Arial" w:hAnsi="Arial" w:cs="Arial"/>
          <w:sz w:val="24"/>
          <w:szCs w:val="24"/>
        </w:rPr>
        <w:t>18</w:t>
      </w:r>
      <w:r w:rsidR="001961B0">
        <w:rPr>
          <w:rFonts w:ascii="Arial" w:hAnsi="Arial" w:cs="Arial"/>
          <w:sz w:val="24"/>
          <w:szCs w:val="24"/>
        </w:rPr>
        <w:t xml:space="preserve"> en total</w:t>
      </w:r>
      <w:r>
        <w:rPr>
          <w:rFonts w:ascii="Arial" w:hAnsi="Arial" w:cs="Arial"/>
          <w:sz w:val="24"/>
          <w:szCs w:val="24"/>
        </w:rPr>
        <w:t>,</w:t>
      </w:r>
      <w:r w:rsidR="002E75E0" w:rsidRPr="005605AC">
        <w:rPr>
          <w:rFonts w:ascii="Arial" w:hAnsi="Arial" w:cs="Arial"/>
          <w:sz w:val="24"/>
          <w:szCs w:val="24"/>
        </w:rPr>
        <w:t xml:space="preserve"> sin tomar en cuenta el acero</w:t>
      </w:r>
      <w:r>
        <w:rPr>
          <w:rFonts w:ascii="Arial" w:hAnsi="Arial" w:cs="Arial"/>
          <w:sz w:val="24"/>
          <w:szCs w:val="24"/>
        </w:rPr>
        <w:t>,</w:t>
      </w:r>
      <w:r w:rsidR="002E75E0" w:rsidRPr="005605AC">
        <w:rPr>
          <w:rFonts w:ascii="Arial" w:hAnsi="Arial" w:cs="Arial"/>
          <w:sz w:val="24"/>
          <w:szCs w:val="24"/>
        </w:rPr>
        <w:t xml:space="preserve"> que es una aleación de hierro y otros minerales. </w:t>
      </w:r>
      <w:r w:rsidR="00454EE5">
        <w:rPr>
          <w:rFonts w:ascii="Arial" w:hAnsi="Arial" w:cs="Arial"/>
          <w:sz w:val="24"/>
          <w:szCs w:val="24"/>
        </w:rPr>
        <w:t>De e</w:t>
      </w:r>
      <w:r w:rsidR="002E75E0" w:rsidRPr="005605AC">
        <w:rPr>
          <w:rFonts w:ascii="Arial" w:hAnsi="Arial" w:cs="Arial"/>
          <w:sz w:val="24"/>
          <w:szCs w:val="24"/>
        </w:rPr>
        <w:t xml:space="preserve">ntre los más usados se encuentra el hierro, </w:t>
      </w:r>
      <w:r>
        <w:rPr>
          <w:rFonts w:ascii="Arial" w:hAnsi="Arial" w:cs="Arial"/>
          <w:sz w:val="24"/>
          <w:szCs w:val="24"/>
        </w:rPr>
        <w:t xml:space="preserve">el </w:t>
      </w:r>
      <w:r w:rsidR="002E75E0" w:rsidRPr="005605AC">
        <w:rPr>
          <w:rFonts w:ascii="Arial" w:hAnsi="Arial" w:cs="Arial"/>
          <w:sz w:val="24"/>
          <w:szCs w:val="24"/>
        </w:rPr>
        <w:t xml:space="preserve">acero, </w:t>
      </w:r>
      <w:r>
        <w:rPr>
          <w:rFonts w:ascii="Arial" w:hAnsi="Arial" w:cs="Arial"/>
          <w:sz w:val="24"/>
          <w:szCs w:val="24"/>
        </w:rPr>
        <w:t xml:space="preserve">el </w:t>
      </w:r>
      <w:r w:rsidR="002E75E0" w:rsidRPr="005605AC">
        <w:rPr>
          <w:rFonts w:ascii="Arial" w:hAnsi="Arial" w:cs="Arial"/>
          <w:sz w:val="24"/>
          <w:szCs w:val="24"/>
        </w:rPr>
        <w:t xml:space="preserve">aluminio y </w:t>
      </w:r>
      <w:r>
        <w:rPr>
          <w:rFonts w:ascii="Arial" w:hAnsi="Arial" w:cs="Arial"/>
          <w:sz w:val="24"/>
          <w:szCs w:val="24"/>
        </w:rPr>
        <w:t xml:space="preserve">el </w:t>
      </w:r>
      <w:r w:rsidR="002E75E0" w:rsidRPr="005605AC">
        <w:rPr>
          <w:rFonts w:ascii="Arial" w:hAnsi="Arial" w:cs="Arial"/>
          <w:sz w:val="24"/>
          <w:szCs w:val="24"/>
        </w:rPr>
        <w:t>níquel.</w:t>
      </w:r>
    </w:p>
    <w:p w14:paraId="736C0163" w14:textId="77DF3397" w:rsidR="007F2953" w:rsidRDefault="006721A9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61B0">
        <w:rPr>
          <w:rFonts w:ascii="Arial" w:hAnsi="Arial" w:cs="Arial"/>
          <w:sz w:val="24"/>
          <w:szCs w:val="24"/>
        </w:rPr>
        <w:t>P</w:t>
      </w:r>
      <w:r w:rsidR="00981AAC" w:rsidRPr="005605AC">
        <w:rPr>
          <w:rFonts w:ascii="Arial" w:hAnsi="Arial" w:cs="Arial"/>
          <w:sz w:val="24"/>
          <w:szCs w:val="24"/>
        </w:rPr>
        <w:t xml:space="preserve">ara 2060, aún </w:t>
      </w:r>
      <w:r w:rsidR="00CA7A30" w:rsidRPr="005605AC">
        <w:rPr>
          <w:rFonts w:ascii="Arial" w:hAnsi="Arial" w:cs="Arial"/>
          <w:sz w:val="24"/>
          <w:szCs w:val="24"/>
        </w:rPr>
        <w:t>asumiendo unas tasas de reciclado muy generosas para todos los minerales</w:t>
      </w:r>
      <w:r w:rsidR="00981AAC" w:rsidRPr="005605AC">
        <w:rPr>
          <w:rFonts w:ascii="Arial" w:hAnsi="Arial" w:cs="Arial"/>
          <w:sz w:val="24"/>
          <w:szCs w:val="24"/>
        </w:rPr>
        <w:t>,</w:t>
      </w:r>
      <w:r w:rsidR="00CA7A30" w:rsidRPr="005605AC">
        <w:rPr>
          <w:rFonts w:ascii="Arial" w:hAnsi="Arial" w:cs="Arial"/>
          <w:sz w:val="24"/>
          <w:szCs w:val="24"/>
        </w:rPr>
        <w:t xml:space="preserve"> </w:t>
      </w:r>
      <w:r w:rsidR="00981AAC" w:rsidRPr="005605AC">
        <w:rPr>
          <w:rFonts w:ascii="Arial" w:hAnsi="Arial" w:cs="Arial"/>
          <w:sz w:val="24"/>
          <w:szCs w:val="24"/>
        </w:rPr>
        <w:t xml:space="preserve">el </w:t>
      </w:r>
      <w:r w:rsidR="00CA7A30" w:rsidRPr="005605AC">
        <w:rPr>
          <w:rFonts w:ascii="Arial" w:hAnsi="Arial" w:cs="Arial"/>
          <w:sz w:val="24"/>
          <w:szCs w:val="24"/>
        </w:rPr>
        <w:t>85 %</w:t>
      </w:r>
      <w:r w:rsidR="00981AAC" w:rsidRPr="005605AC">
        <w:rPr>
          <w:rFonts w:ascii="Arial" w:hAnsi="Arial" w:cs="Arial"/>
          <w:sz w:val="24"/>
          <w:szCs w:val="24"/>
        </w:rPr>
        <w:t xml:space="preserve"> de la extracción de minas </w:t>
      </w:r>
      <w:r w:rsidR="00CA7A30" w:rsidRPr="005605AC">
        <w:rPr>
          <w:rFonts w:ascii="Arial" w:hAnsi="Arial" w:cs="Arial"/>
          <w:sz w:val="24"/>
          <w:szCs w:val="24"/>
        </w:rPr>
        <w:t>para la fabricación e instalación de plantas de generación de energía renovable eléctrica superaría a las reservas estimadas para el teluro, indio, estaño, plata y galio; y alcanzando más del 50 % para el litio y el manganeso</w:t>
      </w:r>
      <w:r w:rsidR="003A5DD5">
        <w:rPr>
          <w:rFonts w:ascii="Arial" w:hAnsi="Arial" w:cs="Arial"/>
          <w:sz w:val="24"/>
          <w:szCs w:val="24"/>
        </w:rPr>
        <w:t xml:space="preserve"> (</w:t>
      </w:r>
      <w:r w:rsidR="00810DA2" w:rsidRPr="00154051">
        <w:rPr>
          <w:rFonts w:ascii="Arial" w:hAnsi="Arial" w:cs="Arial"/>
          <w:sz w:val="24"/>
          <w:szCs w:val="24"/>
        </w:rPr>
        <w:t>Capellán-Pérez y De Castro</w:t>
      </w:r>
      <w:r w:rsidR="003A5DD5">
        <w:rPr>
          <w:rFonts w:ascii="Arial" w:hAnsi="Arial" w:cs="Arial"/>
          <w:sz w:val="24"/>
          <w:szCs w:val="24"/>
        </w:rPr>
        <w:t>, 2019)</w:t>
      </w:r>
      <w:r w:rsidR="00CA7A30" w:rsidRPr="005605AC">
        <w:rPr>
          <w:rFonts w:ascii="Arial" w:hAnsi="Arial" w:cs="Arial"/>
          <w:sz w:val="24"/>
          <w:szCs w:val="24"/>
        </w:rPr>
        <w:t>.</w:t>
      </w:r>
      <w:r w:rsidR="002E75E0" w:rsidRPr="005605AC">
        <w:rPr>
          <w:rFonts w:ascii="Arial" w:hAnsi="Arial" w:cs="Arial"/>
          <w:sz w:val="24"/>
          <w:szCs w:val="24"/>
        </w:rPr>
        <w:t xml:space="preserve"> </w:t>
      </w:r>
      <w:r w:rsidR="00E735EB" w:rsidRPr="005605AC">
        <w:rPr>
          <w:rFonts w:ascii="Arial" w:hAnsi="Arial" w:cs="Arial"/>
          <w:sz w:val="24"/>
          <w:szCs w:val="24"/>
        </w:rPr>
        <w:t>Pero no estamos hablando solo del futuro</w:t>
      </w:r>
      <w:r>
        <w:rPr>
          <w:rFonts w:ascii="Arial" w:hAnsi="Arial" w:cs="Arial"/>
          <w:sz w:val="24"/>
          <w:szCs w:val="24"/>
        </w:rPr>
        <w:t>, pues</w:t>
      </w:r>
      <w:r w:rsidR="00E735EB" w:rsidRPr="005605AC">
        <w:rPr>
          <w:rFonts w:ascii="Arial" w:hAnsi="Arial" w:cs="Arial"/>
          <w:sz w:val="24"/>
          <w:szCs w:val="24"/>
        </w:rPr>
        <w:t xml:space="preserve"> existe una relación estadística significativa entre la expansión de los parques fotovoltaicos por todo el mundo en los últimos años y el incremento del precio de la plata (Apergis </w:t>
      </w:r>
      <w:r>
        <w:rPr>
          <w:rFonts w:ascii="Arial" w:hAnsi="Arial" w:cs="Arial"/>
          <w:sz w:val="24"/>
          <w:szCs w:val="24"/>
        </w:rPr>
        <w:t xml:space="preserve">y </w:t>
      </w:r>
      <w:r w:rsidR="00E735EB" w:rsidRPr="005605AC">
        <w:rPr>
          <w:rFonts w:ascii="Arial" w:hAnsi="Arial" w:cs="Arial"/>
          <w:sz w:val="24"/>
          <w:szCs w:val="24"/>
        </w:rPr>
        <w:t>Apergis, 2019).</w:t>
      </w:r>
    </w:p>
    <w:p w14:paraId="48CB2224" w14:textId="77777777" w:rsidR="00F80156" w:rsidRPr="005605AC" w:rsidRDefault="00F80156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7DFD6D" w14:textId="77777777" w:rsidR="00A65CC3" w:rsidRPr="005605AC" w:rsidRDefault="00A65CC3" w:rsidP="005605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05AC">
        <w:rPr>
          <w:rFonts w:ascii="Arial" w:hAnsi="Arial" w:cs="Arial"/>
          <w:b/>
          <w:bCs/>
          <w:sz w:val="24"/>
          <w:szCs w:val="24"/>
        </w:rPr>
        <w:t>Deuda ecológica por extracción de minerales</w:t>
      </w:r>
    </w:p>
    <w:p w14:paraId="57CDC4DE" w14:textId="2EA4C1BA" w:rsidR="00983ECA" w:rsidRDefault="00CB6084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5AC">
        <w:rPr>
          <w:rFonts w:ascii="Arial" w:hAnsi="Arial" w:cs="Arial"/>
          <w:sz w:val="24"/>
          <w:szCs w:val="24"/>
        </w:rPr>
        <w:t xml:space="preserve">El consumo per cápita </w:t>
      </w:r>
      <w:r w:rsidR="001E61AD">
        <w:rPr>
          <w:rFonts w:ascii="Arial" w:hAnsi="Arial" w:cs="Arial"/>
          <w:sz w:val="24"/>
          <w:szCs w:val="24"/>
        </w:rPr>
        <w:t xml:space="preserve">de </w:t>
      </w:r>
      <w:r w:rsidRPr="00076151">
        <w:rPr>
          <w:rFonts w:ascii="Arial" w:hAnsi="Arial" w:cs="Arial"/>
          <w:sz w:val="24"/>
          <w:szCs w:val="24"/>
        </w:rPr>
        <w:t xml:space="preserve">países </w:t>
      </w:r>
      <w:r w:rsidR="001E61AD" w:rsidRPr="00076151">
        <w:rPr>
          <w:rFonts w:ascii="Arial" w:hAnsi="Arial" w:cs="Arial"/>
          <w:sz w:val="24"/>
          <w:szCs w:val="24"/>
        </w:rPr>
        <w:t>del Norte Global</w:t>
      </w:r>
      <w:r w:rsidR="00E765CB" w:rsidRPr="00076151">
        <w:rPr>
          <w:rFonts w:ascii="Arial" w:hAnsi="Arial" w:cs="Arial"/>
          <w:sz w:val="24"/>
          <w:szCs w:val="24"/>
        </w:rPr>
        <w:t>,</w:t>
      </w:r>
      <w:r w:rsidR="001E61AD" w:rsidRPr="00076151">
        <w:rPr>
          <w:rFonts w:ascii="Arial" w:hAnsi="Arial" w:cs="Arial"/>
          <w:sz w:val="24"/>
          <w:szCs w:val="24"/>
        </w:rPr>
        <w:t xml:space="preserve"> </w:t>
      </w:r>
      <w:r w:rsidRPr="00076151">
        <w:rPr>
          <w:rFonts w:ascii="Arial" w:hAnsi="Arial" w:cs="Arial"/>
          <w:sz w:val="24"/>
          <w:szCs w:val="24"/>
        </w:rPr>
        <w:t>como Estados</w:t>
      </w:r>
      <w:r w:rsidRPr="005605AC">
        <w:rPr>
          <w:rFonts w:ascii="Arial" w:hAnsi="Arial" w:cs="Arial"/>
          <w:sz w:val="24"/>
          <w:szCs w:val="24"/>
        </w:rPr>
        <w:t xml:space="preserve"> Unidos,</w:t>
      </w:r>
      <w:r w:rsidR="001E61AD">
        <w:rPr>
          <w:rFonts w:ascii="Arial" w:hAnsi="Arial" w:cs="Arial"/>
          <w:sz w:val="24"/>
          <w:szCs w:val="24"/>
        </w:rPr>
        <w:t xml:space="preserve"> y los que conforman</w:t>
      </w:r>
      <w:r w:rsidRPr="005605AC">
        <w:rPr>
          <w:rFonts w:ascii="Arial" w:hAnsi="Arial" w:cs="Arial"/>
          <w:sz w:val="24"/>
          <w:szCs w:val="24"/>
        </w:rPr>
        <w:t xml:space="preserve"> </w:t>
      </w:r>
      <w:r w:rsidR="001E61AD">
        <w:rPr>
          <w:rFonts w:ascii="Arial" w:hAnsi="Arial" w:cs="Arial"/>
          <w:sz w:val="24"/>
          <w:szCs w:val="24"/>
        </w:rPr>
        <w:t xml:space="preserve">la </w:t>
      </w:r>
      <w:r w:rsidRPr="005605AC">
        <w:rPr>
          <w:rFonts w:ascii="Arial" w:hAnsi="Arial" w:cs="Arial"/>
          <w:sz w:val="24"/>
          <w:szCs w:val="24"/>
        </w:rPr>
        <w:t>Unión Europea</w:t>
      </w:r>
      <w:r w:rsidR="001E61AD">
        <w:rPr>
          <w:rFonts w:ascii="Arial" w:hAnsi="Arial" w:cs="Arial"/>
          <w:sz w:val="24"/>
          <w:szCs w:val="24"/>
        </w:rPr>
        <w:t xml:space="preserve">, es </w:t>
      </w:r>
      <w:r w:rsidRPr="005605AC">
        <w:rPr>
          <w:rFonts w:ascii="Arial" w:hAnsi="Arial" w:cs="Arial"/>
          <w:sz w:val="24"/>
          <w:szCs w:val="24"/>
        </w:rPr>
        <w:t>de 200 veces el promedio de los habitantes de países del Sur, siendo estos últimos los productores de minerales</w:t>
      </w:r>
      <w:r w:rsidR="00BC7AF5">
        <w:rPr>
          <w:rFonts w:ascii="Arial" w:hAnsi="Arial" w:cs="Arial"/>
          <w:sz w:val="24"/>
          <w:szCs w:val="24"/>
        </w:rPr>
        <w:t xml:space="preserve"> (World Bank, 2021)</w:t>
      </w:r>
      <w:r w:rsidRPr="005605AC">
        <w:rPr>
          <w:rFonts w:ascii="Arial" w:hAnsi="Arial" w:cs="Arial"/>
          <w:sz w:val="24"/>
          <w:szCs w:val="24"/>
        </w:rPr>
        <w:t>. De modo que la desigualdad energética se ha</w:t>
      </w:r>
      <w:r w:rsidR="00372D50">
        <w:rPr>
          <w:rFonts w:ascii="Arial" w:hAnsi="Arial" w:cs="Arial"/>
          <w:sz w:val="24"/>
          <w:szCs w:val="24"/>
        </w:rPr>
        <w:t>ce</w:t>
      </w:r>
      <w:r w:rsidRPr="005605AC">
        <w:rPr>
          <w:rFonts w:ascii="Arial" w:hAnsi="Arial" w:cs="Arial"/>
          <w:sz w:val="24"/>
          <w:szCs w:val="24"/>
        </w:rPr>
        <w:t xml:space="preserve"> más notoria</w:t>
      </w:r>
      <w:r w:rsidR="00C60448">
        <w:rPr>
          <w:rFonts w:ascii="Arial" w:hAnsi="Arial" w:cs="Arial"/>
          <w:sz w:val="24"/>
          <w:szCs w:val="24"/>
        </w:rPr>
        <w:t>,</w:t>
      </w:r>
      <w:r w:rsidR="00B770B9">
        <w:rPr>
          <w:rFonts w:ascii="Arial" w:hAnsi="Arial" w:cs="Arial"/>
          <w:sz w:val="24"/>
          <w:szCs w:val="24"/>
        </w:rPr>
        <w:t xml:space="preserve"> Figura 4</w:t>
      </w:r>
      <w:r w:rsidR="0010345D" w:rsidRPr="005605AC">
        <w:rPr>
          <w:rFonts w:ascii="Arial" w:hAnsi="Arial" w:cs="Arial"/>
          <w:sz w:val="24"/>
          <w:szCs w:val="24"/>
        </w:rPr>
        <w:t xml:space="preserve">, </w:t>
      </w:r>
      <w:r w:rsidR="006721A9">
        <w:rPr>
          <w:rFonts w:ascii="Arial" w:hAnsi="Arial" w:cs="Arial"/>
          <w:sz w:val="24"/>
          <w:szCs w:val="24"/>
        </w:rPr>
        <w:t>toda vez que</w:t>
      </w:r>
      <w:r w:rsidR="0010345D" w:rsidRPr="005605AC">
        <w:rPr>
          <w:rFonts w:ascii="Arial" w:hAnsi="Arial" w:cs="Arial"/>
          <w:sz w:val="24"/>
          <w:szCs w:val="24"/>
        </w:rPr>
        <w:t xml:space="preserve"> </w:t>
      </w:r>
      <w:r w:rsidRPr="005605AC">
        <w:rPr>
          <w:rFonts w:ascii="Arial" w:hAnsi="Arial" w:cs="Arial"/>
          <w:sz w:val="24"/>
          <w:szCs w:val="24"/>
        </w:rPr>
        <w:t>los países ricos sig</w:t>
      </w:r>
      <w:r w:rsidR="0010345D" w:rsidRPr="005605AC">
        <w:rPr>
          <w:rFonts w:ascii="Arial" w:hAnsi="Arial" w:cs="Arial"/>
          <w:sz w:val="24"/>
          <w:szCs w:val="24"/>
        </w:rPr>
        <w:t>uen</w:t>
      </w:r>
      <w:r w:rsidRPr="005605AC">
        <w:rPr>
          <w:rFonts w:ascii="Arial" w:hAnsi="Arial" w:cs="Arial"/>
          <w:sz w:val="24"/>
          <w:szCs w:val="24"/>
        </w:rPr>
        <w:t xml:space="preserve"> </w:t>
      </w:r>
      <w:r w:rsidR="0010345D" w:rsidRPr="005605AC">
        <w:rPr>
          <w:rFonts w:ascii="Arial" w:hAnsi="Arial" w:cs="Arial"/>
          <w:sz w:val="24"/>
          <w:szCs w:val="24"/>
        </w:rPr>
        <w:t xml:space="preserve">incrementando su </w:t>
      </w:r>
      <w:r w:rsidRPr="005605AC">
        <w:rPr>
          <w:rFonts w:ascii="Arial" w:hAnsi="Arial" w:cs="Arial"/>
          <w:sz w:val="24"/>
          <w:szCs w:val="24"/>
        </w:rPr>
        <w:t>consum</w:t>
      </w:r>
      <w:r w:rsidR="0010345D" w:rsidRPr="005605AC">
        <w:rPr>
          <w:rFonts w:ascii="Arial" w:hAnsi="Arial" w:cs="Arial"/>
          <w:sz w:val="24"/>
          <w:szCs w:val="24"/>
        </w:rPr>
        <w:t>o</w:t>
      </w:r>
      <w:r w:rsidR="001E61AD">
        <w:rPr>
          <w:rFonts w:ascii="Arial" w:hAnsi="Arial" w:cs="Arial"/>
          <w:sz w:val="24"/>
          <w:szCs w:val="24"/>
        </w:rPr>
        <w:t>, mientras que</w:t>
      </w:r>
      <w:r w:rsidR="0010345D" w:rsidRPr="005605AC">
        <w:rPr>
          <w:rFonts w:ascii="Arial" w:hAnsi="Arial" w:cs="Arial"/>
          <w:sz w:val="24"/>
          <w:szCs w:val="24"/>
        </w:rPr>
        <w:t xml:space="preserve"> los</w:t>
      </w:r>
      <w:r w:rsidRPr="005605AC">
        <w:rPr>
          <w:rFonts w:ascii="Arial" w:hAnsi="Arial" w:cs="Arial"/>
          <w:sz w:val="24"/>
          <w:szCs w:val="24"/>
        </w:rPr>
        <w:t xml:space="preserve"> productores de minerales </w:t>
      </w:r>
      <w:r w:rsidR="006721A9" w:rsidRPr="005605AC">
        <w:rPr>
          <w:rFonts w:ascii="Arial" w:hAnsi="Arial" w:cs="Arial"/>
          <w:sz w:val="24"/>
          <w:szCs w:val="24"/>
        </w:rPr>
        <w:t>t</w:t>
      </w:r>
      <w:r w:rsidR="006721A9">
        <w:rPr>
          <w:rFonts w:ascii="Arial" w:hAnsi="Arial" w:cs="Arial"/>
          <w:sz w:val="24"/>
          <w:szCs w:val="24"/>
        </w:rPr>
        <w:t>ienen</w:t>
      </w:r>
      <w:r w:rsidR="006721A9" w:rsidRPr="005605AC">
        <w:rPr>
          <w:rFonts w:ascii="Arial" w:hAnsi="Arial" w:cs="Arial"/>
          <w:sz w:val="24"/>
          <w:szCs w:val="24"/>
        </w:rPr>
        <w:t xml:space="preserve"> </w:t>
      </w:r>
      <w:r w:rsidRPr="005605AC">
        <w:rPr>
          <w:rFonts w:ascii="Arial" w:hAnsi="Arial" w:cs="Arial"/>
          <w:sz w:val="24"/>
          <w:szCs w:val="24"/>
        </w:rPr>
        <w:t xml:space="preserve">que </w:t>
      </w:r>
      <w:r w:rsidR="0010345D" w:rsidRPr="005605AC">
        <w:rPr>
          <w:rFonts w:ascii="Arial" w:hAnsi="Arial" w:cs="Arial"/>
          <w:sz w:val="24"/>
          <w:szCs w:val="24"/>
        </w:rPr>
        <w:t>au</w:t>
      </w:r>
      <w:r w:rsidRPr="005605AC">
        <w:rPr>
          <w:rFonts w:ascii="Arial" w:hAnsi="Arial" w:cs="Arial"/>
          <w:sz w:val="24"/>
          <w:szCs w:val="24"/>
        </w:rPr>
        <w:t>mentar el ritmo de explotación de sus recursos</w:t>
      </w:r>
      <w:r w:rsidR="0010345D" w:rsidRPr="005605AC">
        <w:rPr>
          <w:rFonts w:ascii="Arial" w:hAnsi="Arial" w:cs="Arial"/>
          <w:sz w:val="24"/>
          <w:szCs w:val="24"/>
        </w:rPr>
        <w:t xml:space="preserve">. </w:t>
      </w:r>
    </w:p>
    <w:p w14:paraId="68C63A48" w14:textId="051F7BF7" w:rsidR="001E61AD" w:rsidRDefault="006721A9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345D" w:rsidRPr="005605AC">
        <w:rPr>
          <w:rFonts w:ascii="Arial" w:hAnsi="Arial" w:cs="Arial"/>
          <w:sz w:val="24"/>
          <w:szCs w:val="24"/>
        </w:rPr>
        <w:t>L</w:t>
      </w:r>
      <w:r w:rsidR="00E01B73" w:rsidRPr="005605AC">
        <w:rPr>
          <w:rFonts w:ascii="Arial" w:hAnsi="Arial" w:cs="Arial"/>
          <w:sz w:val="24"/>
          <w:szCs w:val="24"/>
        </w:rPr>
        <w:t xml:space="preserve">a intensificación de la explotación mineral en países </w:t>
      </w:r>
      <w:r w:rsidR="001E61AD">
        <w:rPr>
          <w:rFonts w:ascii="Arial" w:hAnsi="Arial" w:cs="Arial"/>
          <w:sz w:val="24"/>
          <w:szCs w:val="24"/>
        </w:rPr>
        <w:t>del Sur</w:t>
      </w:r>
      <w:r w:rsidR="00E01B73" w:rsidRPr="005605AC">
        <w:rPr>
          <w:rFonts w:ascii="Arial" w:hAnsi="Arial" w:cs="Arial"/>
          <w:sz w:val="24"/>
          <w:szCs w:val="24"/>
        </w:rPr>
        <w:t xml:space="preserve"> conlleva muy frecuentemente problemas económicos, políticos y sociales. A ese fenómeno se le ha denominado </w:t>
      </w:r>
      <w:r w:rsidR="00E01B73" w:rsidRPr="005605AC">
        <w:rPr>
          <w:rFonts w:ascii="Arial" w:hAnsi="Arial" w:cs="Arial"/>
          <w:i/>
          <w:iCs/>
          <w:sz w:val="24"/>
          <w:szCs w:val="24"/>
        </w:rPr>
        <w:t>maldición de los recursos</w:t>
      </w:r>
      <w:r w:rsidR="002D3AC5">
        <w:rPr>
          <w:rStyle w:val="Refdenotaalpie"/>
          <w:rFonts w:ascii="Arial" w:hAnsi="Arial" w:cs="Arial"/>
          <w:i/>
          <w:iCs/>
          <w:sz w:val="24"/>
          <w:szCs w:val="24"/>
        </w:rPr>
        <w:footnoteReference w:id="2"/>
      </w:r>
      <w:r w:rsidR="00E01B73" w:rsidRPr="005605AC">
        <w:rPr>
          <w:rFonts w:ascii="Arial" w:hAnsi="Arial" w:cs="Arial"/>
          <w:sz w:val="24"/>
          <w:szCs w:val="24"/>
        </w:rPr>
        <w:t xml:space="preserve">. Esos impactos negativos se multiplican en lugares </w:t>
      </w:r>
      <w:r w:rsidR="00BE2885" w:rsidRPr="005605AC">
        <w:rPr>
          <w:rFonts w:ascii="Arial" w:hAnsi="Arial" w:cs="Arial"/>
          <w:sz w:val="24"/>
          <w:szCs w:val="24"/>
        </w:rPr>
        <w:t>ecológica y socialmente</w:t>
      </w:r>
      <w:r w:rsidR="00E01B73" w:rsidRPr="005605AC">
        <w:rPr>
          <w:rFonts w:ascii="Arial" w:hAnsi="Arial" w:cs="Arial"/>
          <w:sz w:val="24"/>
          <w:szCs w:val="24"/>
        </w:rPr>
        <w:t xml:space="preserve"> frágiles</w:t>
      </w:r>
      <w:r w:rsidR="00BE2885" w:rsidRPr="005605AC">
        <w:rPr>
          <w:rFonts w:ascii="Arial" w:hAnsi="Arial" w:cs="Arial"/>
          <w:sz w:val="24"/>
          <w:szCs w:val="24"/>
        </w:rPr>
        <w:t xml:space="preserve">. </w:t>
      </w:r>
      <w:r w:rsidR="00E01B73" w:rsidRPr="005605AC">
        <w:rPr>
          <w:rFonts w:ascii="Arial" w:hAnsi="Arial" w:cs="Arial"/>
          <w:sz w:val="24"/>
          <w:szCs w:val="24"/>
        </w:rPr>
        <w:t>Si no se gobierna de manera adecuada, la transición energética puede agravar estos problemas.</w:t>
      </w:r>
    </w:p>
    <w:p w14:paraId="2D578326" w14:textId="508A1C25" w:rsidR="005605AC" w:rsidRPr="00F661DD" w:rsidRDefault="005605AC" w:rsidP="005605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61DD">
        <w:rPr>
          <w:rFonts w:ascii="Arial" w:hAnsi="Arial" w:cs="Arial"/>
          <w:b/>
          <w:bCs/>
          <w:sz w:val="24"/>
          <w:szCs w:val="24"/>
        </w:rPr>
        <w:lastRenderedPageBreak/>
        <w:t>Conclusiones</w:t>
      </w:r>
    </w:p>
    <w:p w14:paraId="10EF81B1" w14:textId="5F3B5139" w:rsidR="00AB5FA3" w:rsidRPr="00076151" w:rsidRDefault="00F661DD" w:rsidP="005605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transición energética es la opción más viable para mitigar </w:t>
      </w:r>
      <w:r w:rsidR="00305E81">
        <w:rPr>
          <w:rFonts w:ascii="Arial" w:hAnsi="Arial" w:cs="Arial"/>
          <w:sz w:val="24"/>
          <w:szCs w:val="24"/>
        </w:rPr>
        <w:t>el impacto ambiental causado en los últimos años</w:t>
      </w:r>
      <w:r w:rsidR="00AE4E2F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in embargo,</w:t>
      </w:r>
      <w:r w:rsidR="001E61AD">
        <w:rPr>
          <w:rFonts w:ascii="Arial" w:hAnsi="Arial" w:cs="Arial"/>
          <w:sz w:val="24"/>
          <w:szCs w:val="24"/>
        </w:rPr>
        <w:t xml:space="preserve"> esto no puede llevarse a cabo</w:t>
      </w:r>
      <w:r>
        <w:rPr>
          <w:rFonts w:ascii="Arial" w:hAnsi="Arial" w:cs="Arial"/>
          <w:sz w:val="24"/>
          <w:szCs w:val="24"/>
        </w:rPr>
        <w:t xml:space="preserve"> </w:t>
      </w:r>
      <w:r w:rsidR="001E61AD">
        <w:rPr>
          <w:rFonts w:ascii="Arial" w:hAnsi="Arial" w:cs="Arial"/>
          <w:sz w:val="24"/>
          <w:szCs w:val="24"/>
        </w:rPr>
        <w:t>a costa de que los</w:t>
      </w:r>
      <w:r>
        <w:rPr>
          <w:rFonts w:ascii="Arial" w:hAnsi="Arial" w:cs="Arial"/>
          <w:sz w:val="24"/>
          <w:szCs w:val="24"/>
        </w:rPr>
        <w:t xml:space="preserve"> países del Norte </w:t>
      </w:r>
      <w:r w:rsidR="00195227">
        <w:rPr>
          <w:rFonts w:ascii="Arial" w:hAnsi="Arial" w:cs="Arial"/>
          <w:sz w:val="24"/>
          <w:szCs w:val="24"/>
        </w:rPr>
        <w:t>se excus</w:t>
      </w:r>
      <w:r w:rsidR="001E61AD">
        <w:rPr>
          <w:rFonts w:ascii="Arial" w:hAnsi="Arial" w:cs="Arial"/>
          <w:sz w:val="24"/>
          <w:szCs w:val="24"/>
        </w:rPr>
        <w:t>en</w:t>
      </w:r>
      <w:r w:rsidR="00195227">
        <w:rPr>
          <w:rFonts w:ascii="Arial" w:hAnsi="Arial" w:cs="Arial"/>
          <w:sz w:val="24"/>
          <w:szCs w:val="24"/>
        </w:rPr>
        <w:t xml:space="preserve"> con la deuda externa para saquear a los </w:t>
      </w:r>
      <w:r w:rsidR="00195227" w:rsidRPr="00076151">
        <w:rPr>
          <w:rFonts w:ascii="Arial" w:hAnsi="Arial" w:cs="Arial"/>
          <w:sz w:val="24"/>
          <w:szCs w:val="24"/>
        </w:rPr>
        <w:t>países del Sur</w:t>
      </w:r>
      <w:r w:rsidRPr="00076151">
        <w:rPr>
          <w:rFonts w:ascii="Arial" w:hAnsi="Arial" w:cs="Arial"/>
          <w:sz w:val="24"/>
          <w:szCs w:val="24"/>
        </w:rPr>
        <w:t>.</w:t>
      </w:r>
      <w:r w:rsidR="00EC42DD" w:rsidRPr="00076151">
        <w:rPr>
          <w:rFonts w:ascii="Arial" w:hAnsi="Arial" w:cs="Arial"/>
          <w:sz w:val="24"/>
          <w:szCs w:val="24"/>
        </w:rPr>
        <w:t xml:space="preserve"> </w:t>
      </w:r>
      <w:r w:rsidRPr="00076151">
        <w:rPr>
          <w:rFonts w:ascii="Arial" w:hAnsi="Arial" w:cs="Arial"/>
          <w:sz w:val="24"/>
          <w:szCs w:val="24"/>
        </w:rPr>
        <w:t xml:space="preserve">El reconocimiento del concepto de Deuda Ecológica puede ayudar a los países del Norte </w:t>
      </w:r>
      <w:r w:rsidR="00EC42DD" w:rsidRPr="00076151">
        <w:rPr>
          <w:rFonts w:ascii="Arial" w:hAnsi="Arial" w:cs="Arial"/>
          <w:sz w:val="24"/>
          <w:szCs w:val="24"/>
        </w:rPr>
        <w:t xml:space="preserve">Global </w:t>
      </w:r>
      <w:r w:rsidRPr="00076151">
        <w:rPr>
          <w:rFonts w:ascii="Arial" w:hAnsi="Arial" w:cs="Arial"/>
          <w:sz w:val="24"/>
          <w:szCs w:val="24"/>
        </w:rPr>
        <w:t xml:space="preserve">a realizar </w:t>
      </w:r>
      <w:r w:rsidR="00AE4E2F" w:rsidRPr="00076151">
        <w:rPr>
          <w:rFonts w:ascii="Arial" w:hAnsi="Arial" w:cs="Arial"/>
          <w:sz w:val="24"/>
          <w:szCs w:val="24"/>
        </w:rPr>
        <w:t>las acciones pertinentes para el cuidado del ambiente,</w:t>
      </w:r>
      <w:r w:rsidR="00EC42DD" w:rsidRPr="00076151">
        <w:rPr>
          <w:rFonts w:ascii="Arial" w:hAnsi="Arial" w:cs="Arial"/>
          <w:sz w:val="24"/>
          <w:szCs w:val="24"/>
        </w:rPr>
        <w:t xml:space="preserve"> mientras que a los del Sur, como México, </w:t>
      </w:r>
      <w:r w:rsidR="001E61AD" w:rsidRPr="00076151">
        <w:rPr>
          <w:rFonts w:ascii="Arial" w:hAnsi="Arial" w:cs="Arial"/>
          <w:sz w:val="24"/>
          <w:szCs w:val="24"/>
        </w:rPr>
        <w:t xml:space="preserve">les </w:t>
      </w:r>
      <w:r w:rsidR="00EC42DD" w:rsidRPr="00076151">
        <w:rPr>
          <w:rFonts w:ascii="Arial" w:hAnsi="Arial" w:cs="Arial"/>
          <w:sz w:val="24"/>
          <w:szCs w:val="24"/>
        </w:rPr>
        <w:t>ayudaría a</w:t>
      </w:r>
      <w:r w:rsidR="00AE4E2F" w:rsidRPr="00076151">
        <w:rPr>
          <w:rFonts w:ascii="Arial" w:hAnsi="Arial" w:cs="Arial"/>
          <w:sz w:val="24"/>
          <w:szCs w:val="24"/>
        </w:rPr>
        <w:t xml:space="preserve"> tener oportunidades y destacar con los recursos naturales que contamos. </w:t>
      </w:r>
    </w:p>
    <w:p w14:paraId="2E807417" w14:textId="77777777" w:rsidR="00C60448" w:rsidRPr="00076151" w:rsidRDefault="00C60448" w:rsidP="005605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07A09A" w14:textId="4F4F1354" w:rsidR="002D045D" w:rsidRPr="00076151" w:rsidRDefault="002D045D" w:rsidP="005605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76151">
        <w:rPr>
          <w:rFonts w:ascii="Arial" w:hAnsi="Arial" w:cs="Arial"/>
          <w:b/>
          <w:bCs/>
          <w:sz w:val="24"/>
          <w:szCs w:val="24"/>
        </w:rPr>
        <w:t>Referencias</w:t>
      </w:r>
    </w:p>
    <w:p w14:paraId="2137A382" w14:textId="3B5E0ED6" w:rsidR="00E66DA4" w:rsidRPr="00076151" w:rsidRDefault="00E66DA4" w:rsidP="00E66DA4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6151">
        <w:rPr>
          <w:rFonts w:ascii="Arial" w:hAnsi="Arial" w:cs="Arial"/>
          <w:sz w:val="24"/>
          <w:szCs w:val="24"/>
          <w:shd w:val="clear" w:color="auto" w:fill="FFFFFF"/>
        </w:rPr>
        <w:t>Apergis</w:t>
      </w:r>
      <w:r w:rsidR="00883CAA" w:rsidRPr="00076151">
        <w:rPr>
          <w:rFonts w:ascii="Arial" w:hAnsi="Arial" w:cs="Arial"/>
          <w:sz w:val="24"/>
          <w:szCs w:val="24"/>
          <w:shd w:val="clear" w:color="auto" w:fill="FFFFFF"/>
        </w:rPr>
        <w:t>, I.</w:t>
      </w:r>
      <w:r w:rsidR="00154051" w:rsidRPr="00076151"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Pr="00076151">
        <w:rPr>
          <w:rFonts w:ascii="Arial" w:hAnsi="Arial" w:cs="Arial"/>
          <w:sz w:val="24"/>
          <w:szCs w:val="24"/>
          <w:shd w:val="clear" w:color="auto" w:fill="FFFFFF"/>
        </w:rPr>
        <w:t xml:space="preserve"> Apergis, N. (2019). </w:t>
      </w:r>
      <w:r w:rsidR="001E61AD" w:rsidRPr="00076151">
        <w:rPr>
          <w:rFonts w:ascii="Arial" w:hAnsi="Arial" w:cs="Arial"/>
          <w:sz w:val="24"/>
          <w:szCs w:val="24"/>
          <w:shd w:val="clear" w:color="auto" w:fill="FFFFFF"/>
          <w:lang w:val="en-US"/>
        </w:rPr>
        <w:t>"</w:t>
      </w:r>
      <w:r w:rsidRPr="00076151">
        <w:rPr>
          <w:rFonts w:ascii="Arial" w:hAnsi="Arial" w:cs="Arial"/>
          <w:sz w:val="24"/>
          <w:szCs w:val="24"/>
          <w:shd w:val="clear" w:color="auto" w:fill="FFFFFF"/>
          <w:lang w:val="en-US"/>
        </w:rPr>
        <w:t>Silver prices and solar energy production</w:t>
      </w:r>
      <w:r w:rsidR="001E61AD" w:rsidRPr="00076151">
        <w:rPr>
          <w:rFonts w:ascii="Arial" w:hAnsi="Arial" w:cs="Arial"/>
          <w:sz w:val="24"/>
          <w:szCs w:val="24"/>
          <w:shd w:val="clear" w:color="auto" w:fill="FFFFFF"/>
          <w:lang w:val="en-US"/>
        </w:rPr>
        <w:t>"</w:t>
      </w:r>
      <w:r w:rsidRPr="0007615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="001E61AD" w:rsidRPr="00076151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Pr="00076151">
        <w:rPr>
          <w:rFonts w:ascii="Arial" w:hAnsi="Arial" w:cs="Arial"/>
          <w:i/>
          <w:iCs/>
          <w:sz w:val="24"/>
          <w:szCs w:val="24"/>
          <w:shd w:val="clear" w:color="auto" w:fill="FFFFFF"/>
        </w:rPr>
        <w:t>Environ Sci Pollut</w:t>
      </w:r>
      <w:r w:rsidRPr="00076151">
        <w:rPr>
          <w:rFonts w:ascii="Arial" w:hAnsi="Arial" w:cs="Arial"/>
          <w:sz w:val="24"/>
          <w:szCs w:val="24"/>
          <w:shd w:val="clear" w:color="auto" w:fill="FFFFFF"/>
        </w:rPr>
        <w:t xml:space="preserve"> Res 26, 8525–8532. </w:t>
      </w:r>
      <w:hyperlink r:id="rId11" w:history="1">
        <w:r w:rsidRPr="00076151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doi.org/10.1007/s11356-019-04357-1</w:t>
        </w:r>
      </w:hyperlink>
    </w:p>
    <w:p w14:paraId="5FA42CCE" w14:textId="5DA8D614" w:rsidR="00810DA2" w:rsidRPr="00076151" w:rsidRDefault="00810DA2" w:rsidP="00E66DA4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6151">
        <w:rPr>
          <w:rFonts w:ascii="Arial" w:hAnsi="Arial" w:cs="Arial"/>
          <w:sz w:val="24"/>
          <w:szCs w:val="24"/>
          <w:shd w:val="clear" w:color="auto" w:fill="FFFFFF"/>
        </w:rPr>
        <w:t xml:space="preserve">Capellán-Pérez et al. </w:t>
      </w:r>
      <w:r w:rsidRPr="0007615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(2017). </w:t>
      </w:r>
      <w:r w:rsidR="001E61AD" w:rsidRPr="00076151">
        <w:rPr>
          <w:rFonts w:ascii="Arial" w:hAnsi="Arial" w:cs="Arial"/>
          <w:sz w:val="24"/>
          <w:szCs w:val="24"/>
          <w:shd w:val="clear" w:color="auto" w:fill="FFFFFF"/>
          <w:lang w:val="en-US"/>
        </w:rPr>
        <w:t>"</w:t>
      </w:r>
      <w:r w:rsidRPr="00076151">
        <w:rPr>
          <w:rFonts w:ascii="Arial" w:hAnsi="Arial" w:cs="Arial"/>
          <w:sz w:val="24"/>
          <w:szCs w:val="24"/>
          <w:shd w:val="clear" w:color="auto" w:fill="FFFFFF"/>
          <w:lang w:val="en-US"/>
        </w:rPr>
        <w:t>Model and IOA implementation at global geographical level</w:t>
      </w:r>
      <w:r w:rsidR="001E61AD" w:rsidRPr="0007615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". </w:t>
      </w:r>
      <w:r w:rsidR="001E61AD" w:rsidRPr="00076151">
        <w:rPr>
          <w:rFonts w:ascii="Arial" w:hAnsi="Arial" w:cs="Arial"/>
          <w:sz w:val="24"/>
          <w:szCs w:val="24"/>
          <w:shd w:val="clear" w:color="auto" w:fill="FFFFFF"/>
        </w:rPr>
        <w:t>En</w:t>
      </w:r>
      <w:r w:rsidRPr="000761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76151">
        <w:rPr>
          <w:rFonts w:ascii="Arial" w:hAnsi="Arial" w:cs="Arial"/>
          <w:i/>
          <w:iCs/>
          <w:sz w:val="24"/>
          <w:szCs w:val="24"/>
          <w:shd w:val="clear" w:color="auto" w:fill="FFFFFF"/>
        </w:rPr>
        <w:t>MEDEAS project</w:t>
      </w:r>
      <w:r w:rsidR="001E61AD" w:rsidRPr="00076151">
        <w:rPr>
          <w:rFonts w:ascii="Arial" w:hAnsi="Arial" w:cs="Arial"/>
          <w:sz w:val="24"/>
          <w:szCs w:val="24"/>
          <w:shd w:val="clear" w:color="auto" w:fill="FFFFFF"/>
        </w:rPr>
        <w:t xml:space="preserve">. Disponible en: </w:t>
      </w:r>
      <w:r w:rsidRPr="00076151">
        <w:rPr>
          <w:rFonts w:ascii="Arial" w:hAnsi="Arial" w:cs="Arial"/>
          <w:sz w:val="24"/>
          <w:szCs w:val="24"/>
          <w:shd w:val="clear" w:color="auto" w:fill="FFFFFF"/>
        </w:rPr>
        <w:t>www.medeas.eu/deliverables.</w:t>
      </w:r>
    </w:p>
    <w:p w14:paraId="6339D4B4" w14:textId="1A3801B0" w:rsidR="00DB3875" w:rsidRPr="00076151" w:rsidRDefault="00154051" w:rsidP="003F6F0F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76151">
        <w:rPr>
          <w:rFonts w:ascii="Arial" w:hAnsi="Arial" w:cs="Arial"/>
          <w:sz w:val="24"/>
          <w:szCs w:val="24"/>
        </w:rPr>
        <w:t>Capellán-Pérez</w:t>
      </w:r>
      <w:r w:rsidR="00094766" w:rsidRPr="00076151">
        <w:rPr>
          <w:rFonts w:ascii="Arial" w:hAnsi="Arial" w:cs="Arial"/>
          <w:sz w:val="24"/>
          <w:szCs w:val="24"/>
        </w:rPr>
        <w:t>, I.</w:t>
      </w:r>
      <w:r w:rsidRPr="00076151">
        <w:rPr>
          <w:rFonts w:ascii="Arial" w:hAnsi="Arial" w:cs="Arial"/>
          <w:sz w:val="24"/>
          <w:szCs w:val="24"/>
        </w:rPr>
        <w:t xml:space="preserve"> y De Castro</w:t>
      </w:r>
      <w:r w:rsidR="00094766" w:rsidRPr="00076151">
        <w:rPr>
          <w:rFonts w:ascii="Arial" w:hAnsi="Arial" w:cs="Arial"/>
          <w:sz w:val="24"/>
          <w:szCs w:val="24"/>
        </w:rPr>
        <w:t>, C.</w:t>
      </w:r>
      <w:r w:rsidRPr="00076151">
        <w:rPr>
          <w:rFonts w:ascii="Arial" w:hAnsi="Arial" w:cs="Arial"/>
          <w:sz w:val="24"/>
          <w:szCs w:val="24"/>
        </w:rPr>
        <w:t xml:space="preserve"> </w:t>
      </w:r>
      <w:r w:rsidR="00B9525A" w:rsidRPr="00076151">
        <w:rPr>
          <w:rFonts w:ascii="Arial" w:hAnsi="Arial" w:cs="Arial"/>
          <w:sz w:val="24"/>
          <w:szCs w:val="24"/>
        </w:rPr>
        <w:t>(201</w:t>
      </w:r>
      <w:r w:rsidR="00FF2BEA" w:rsidRPr="00076151">
        <w:rPr>
          <w:rFonts w:ascii="Arial" w:hAnsi="Arial" w:cs="Arial"/>
          <w:sz w:val="24"/>
          <w:szCs w:val="24"/>
        </w:rPr>
        <w:t>9</w:t>
      </w:r>
      <w:r w:rsidR="00B9525A" w:rsidRPr="00076151">
        <w:rPr>
          <w:rFonts w:ascii="Arial" w:hAnsi="Arial" w:cs="Arial"/>
          <w:sz w:val="24"/>
          <w:szCs w:val="24"/>
        </w:rPr>
        <w:t xml:space="preserve">). </w:t>
      </w:r>
      <w:r w:rsidR="001E61AD" w:rsidRPr="00076151">
        <w:rPr>
          <w:rFonts w:ascii="Arial" w:hAnsi="Arial" w:cs="Arial"/>
          <w:sz w:val="24"/>
          <w:szCs w:val="24"/>
        </w:rPr>
        <w:t>"</w:t>
      </w:r>
      <w:r w:rsidR="00B9525A" w:rsidRPr="00076151">
        <w:rPr>
          <w:rFonts w:ascii="Arial" w:hAnsi="Arial" w:cs="Arial"/>
          <w:sz w:val="24"/>
          <w:szCs w:val="24"/>
        </w:rPr>
        <w:t>Transición a energías renovables y demanda de minerales</w:t>
      </w:r>
      <w:r w:rsidR="001E61AD" w:rsidRPr="00076151">
        <w:rPr>
          <w:rFonts w:ascii="Arial" w:hAnsi="Arial" w:cs="Arial"/>
          <w:sz w:val="24"/>
          <w:szCs w:val="24"/>
        </w:rPr>
        <w:t>"</w:t>
      </w:r>
      <w:r w:rsidR="00B9525A" w:rsidRPr="00076151">
        <w:rPr>
          <w:rFonts w:ascii="Arial" w:hAnsi="Arial" w:cs="Arial"/>
          <w:sz w:val="24"/>
          <w:szCs w:val="24"/>
        </w:rPr>
        <w:t>.</w:t>
      </w:r>
      <w:r w:rsidR="001E61AD" w:rsidRPr="00076151">
        <w:rPr>
          <w:rFonts w:ascii="Arial" w:hAnsi="Arial" w:cs="Arial"/>
          <w:sz w:val="24"/>
          <w:szCs w:val="24"/>
        </w:rPr>
        <w:t xml:space="preserve"> En</w:t>
      </w:r>
      <w:r w:rsidR="00B9525A" w:rsidRPr="00076151">
        <w:rPr>
          <w:rFonts w:ascii="Arial" w:hAnsi="Arial" w:cs="Arial"/>
          <w:sz w:val="24"/>
          <w:szCs w:val="24"/>
        </w:rPr>
        <w:t xml:space="preserve"> </w:t>
      </w:r>
      <w:r w:rsidR="00B9525A" w:rsidRPr="00076151">
        <w:rPr>
          <w:rFonts w:ascii="Arial" w:hAnsi="Arial" w:cs="Arial"/>
          <w:i/>
          <w:iCs/>
          <w:sz w:val="24"/>
          <w:szCs w:val="24"/>
        </w:rPr>
        <w:t>Revista Ecologista</w:t>
      </w:r>
      <w:r w:rsidR="001E61AD" w:rsidRPr="00076151">
        <w:rPr>
          <w:rFonts w:ascii="Arial" w:hAnsi="Arial" w:cs="Arial"/>
          <w:sz w:val="24"/>
          <w:szCs w:val="24"/>
        </w:rPr>
        <w:t xml:space="preserve">. Disponible en: </w:t>
      </w:r>
      <w:hyperlink r:id="rId12" w:history="1">
        <w:r w:rsidR="00B9525A" w:rsidRPr="00076151">
          <w:rPr>
            <w:rStyle w:val="Hipervnculo"/>
            <w:rFonts w:ascii="Arial" w:hAnsi="Arial" w:cs="Arial"/>
            <w:color w:val="auto"/>
            <w:sz w:val="24"/>
            <w:szCs w:val="24"/>
          </w:rPr>
          <w:t>www.ecologistasenaccion.org/133199/transicion-a-energias-renovables-y-demanda-de-minerales/</w:t>
        </w:r>
      </w:hyperlink>
    </w:p>
    <w:p w14:paraId="74627E48" w14:textId="0D5E4AE9" w:rsidR="00154051" w:rsidRPr="00076151" w:rsidRDefault="00154051" w:rsidP="00154051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76151">
        <w:rPr>
          <w:rFonts w:ascii="Arial" w:hAnsi="Arial" w:cs="Arial"/>
          <w:sz w:val="24"/>
          <w:szCs w:val="24"/>
        </w:rPr>
        <w:t>Martínez Alier, J. (1992)</w:t>
      </w:r>
      <w:r w:rsidR="001E61AD" w:rsidRPr="00076151">
        <w:rPr>
          <w:rFonts w:ascii="Arial" w:hAnsi="Arial" w:cs="Arial"/>
          <w:sz w:val="24"/>
          <w:szCs w:val="24"/>
        </w:rPr>
        <w:t>.</w:t>
      </w:r>
      <w:r w:rsidRPr="00076151">
        <w:rPr>
          <w:rFonts w:ascii="Arial" w:hAnsi="Arial" w:cs="Arial"/>
          <w:sz w:val="24"/>
          <w:szCs w:val="24"/>
        </w:rPr>
        <w:t xml:space="preserve"> </w:t>
      </w:r>
      <w:r w:rsidRPr="00076151">
        <w:rPr>
          <w:rFonts w:ascii="Arial" w:hAnsi="Arial" w:cs="Arial"/>
          <w:i/>
          <w:iCs/>
          <w:sz w:val="24"/>
          <w:szCs w:val="24"/>
        </w:rPr>
        <w:t>De la economía ecológica al ecologismo popular</w:t>
      </w:r>
      <w:r w:rsidRPr="00076151">
        <w:rPr>
          <w:rFonts w:ascii="Arial" w:hAnsi="Arial" w:cs="Arial"/>
          <w:sz w:val="24"/>
          <w:szCs w:val="24"/>
        </w:rPr>
        <w:t>, Editorial Icaria, Barcelona.</w:t>
      </w:r>
    </w:p>
    <w:p w14:paraId="756C7F5E" w14:textId="2C88211B" w:rsidR="00A34EE2" w:rsidRPr="00076151" w:rsidRDefault="00A34EE2" w:rsidP="00A34EE2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076151">
        <w:rPr>
          <w:rFonts w:ascii="Arial" w:hAnsi="Arial" w:cs="Arial"/>
          <w:sz w:val="24"/>
          <w:szCs w:val="24"/>
        </w:rPr>
        <w:t xml:space="preserve">OPS (2016). Calidad del aire. Disponible en: </w:t>
      </w:r>
      <w:hyperlink r:id="rId13" w:anchor=":~:text=La%20exposici%C3%B3n%20a%20altos%20niveles,vulnerable%2C%20ni%C3%B1os%2C%20adultos%20mayores%20y" w:history="1">
        <w:r w:rsidR="00983ECA" w:rsidRPr="00076151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https://www.paho.org/es/temas/calidad-aire#:~:text=La%20exposici%C3%B3n%20a%20altos%20niveles,vulnerable%2C%20ni%C3%B1os%2C%20adultos%20mayores%20y</w:t>
        </w:r>
      </w:hyperlink>
    </w:p>
    <w:p w14:paraId="5F9743A1" w14:textId="4AD92557" w:rsidR="00983ECA" w:rsidRPr="00076151" w:rsidRDefault="00983ECA" w:rsidP="00A34EE2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76151">
        <w:rPr>
          <w:rFonts w:ascii="Arial" w:hAnsi="Arial" w:cs="Arial"/>
          <w:sz w:val="24"/>
          <w:szCs w:val="24"/>
        </w:rPr>
        <w:t xml:space="preserve">Pixabay. </w:t>
      </w:r>
      <w:r w:rsidR="00F80156" w:rsidRPr="00076151">
        <w:rPr>
          <w:rFonts w:ascii="Arial" w:hAnsi="Arial" w:cs="Arial"/>
          <w:sz w:val="24"/>
          <w:szCs w:val="24"/>
        </w:rPr>
        <w:t xml:space="preserve">Imágenes de uso libre disponibles en: </w:t>
      </w:r>
      <w:r w:rsidRPr="00076151">
        <w:rPr>
          <w:rFonts w:ascii="Arial" w:hAnsi="Arial" w:cs="Arial"/>
          <w:sz w:val="24"/>
          <w:szCs w:val="24"/>
        </w:rPr>
        <w:t>https://pixabay.com/es/</w:t>
      </w:r>
    </w:p>
    <w:p w14:paraId="28E91D55" w14:textId="306CD43E" w:rsidR="00657C4F" w:rsidRPr="00076151" w:rsidRDefault="00E66DA4" w:rsidP="003F6F0F">
      <w:pPr>
        <w:spacing w:line="360" w:lineRule="auto"/>
        <w:ind w:left="709" w:hanging="709"/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r w:rsidRPr="00076151">
        <w:rPr>
          <w:rFonts w:ascii="Arial" w:hAnsi="Arial" w:cs="Arial"/>
          <w:sz w:val="24"/>
          <w:szCs w:val="24"/>
        </w:rPr>
        <w:t xml:space="preserve">Russi, D. (2005). </w:t>
      </w:r>
      <w:r w:rsidR="001E61AD" w:rsidRPr="00076151">
        <w:rPr>
          <w:rFonts w:ascii="Arial" w:hAnsi="Arial" w:cs="Arial"/>
          <w:sz w:val="24"/>
          <w:szCs w:val="24"/>
        </w:rPr>
        <w:t>"</w:t>
      </w:r>
      <w:r w:rsidRPr="00076151">
        <w:rPr>
          <w:rFonts w:ascii="Arial" w:hAnsi="Arial" w:cs="Arial"/>
          <w:sz w:val="24"/>
          <w:szCs w:val="24"/>
        </w:rPr>
        <w:t>Deuda ecológica</w:t>
      </w:r>
      <w:r w:rsidR="001E61AD" w:rsidRPr="00076151">
        <w:rPr>
          <w:rFonts w:ascii="Arial" w:hAnsi="Arial" w:cs="Arial"/>
          <w:sz w:val="24"/>
          <w:szCs w:val="24"/>
        </w:rPr>
        <w:t>"</w:t>
      </w:r>
      <w:r w:rsidRPr="00076151">
        <w:rPr>
          <w:rFonts w:ascii="Arial" w:hAnsi="Arial" w:cs="Arial"/>
          <w:sz w:val="24"/>
          <w:szCs w:val="24"/>
        </w:rPr>
        <w:t xml:space="preserve">. </w:t>
      </w:r>
      <w:r w:rsidR="001E61AD" w:rsidRPr="00076151">
        <w:rPr>
          <w:rFonts w:ascii="Arial" w:hAnsi="Arial" w:cs="Arial"/>
          <w:sz w:val="24"/>
          <w:szCs w:val="24"/>
        </w:rPr>
        <w:t xml:space="preserve">En </w:t>
      </w:r>
      <w:r w:rsidRPr="00076151">
        <w:rPr>
          <w:rFonts w:ascii="Arial" w:hAnsi="Arial" w:cs="Arial"/>
          <w:i/>
          <w:iCs/>
          <w:sz w:val="24"/>
          <w:szCs w:val="24"/>
        </w:rPr>
        <w:t>Revista Ecologista</w:t>
      </w:r>
      <w:r w:rsidR="001E61AD" w:rsidRPr="00076151">
        <w:rPr>
          <w:rFonts w:ascii="Arial" w:hAnsi="Arial" w:cs="Arial"/>
          <w:i/>
          <w:iCs/>
          <w:sz w:val="24"/>
          <w:szCs w:val="24"/>
        </w:rPr>
        <w:t xml:space="preserve">. </w:t>
      </w:r>
      <w:r w:rsidR="001E61AD" w:rsidRPr="00076151">
        <w:rPr>
          <w:rFonts w:ascii="Arial" w:hAnsi="Arial" w:cs="Arial"/>
          <w:sz w:val="24"/>
          <w:szCs w:val="24"/>
        </w:rPr>
        <w:t>Disponible en:</w:t>
      </w:r>
      <w:r w:rsidRPr="00076151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076151">
          <w:rPr>
            <w:rStyle w:val="Hipervnculo"/>
            <w:rFonts w:ascii="Arial" w:hAnsi="Arial" w:cs="Arial"/>
            <w:color w:val="auto"/>
            <w:sz w:val="24"/>
            <w:szCs w:val="24"/>
          </w:rPr>
          <w:t>/www.ecologistasenaccion.org/14591/deuda-ecologica-2/</w:t>
        </w:r>
      </w:hyperlink>
    </w:p>
    <w:p w14:paraId="5A1715DB" w14:textId="0674E3C7" w:rsidR="00A34EE2" w:rsidRPr="00076151" w:rsidRDefault="00A34EE2" w:rsidP="003F6F0F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76151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lastRenderedPageBreak/>
        <w:t xml:space="preserve">Servín, A. (2021). </w:t>
      </w:r>
      <w:r w:rsidR="00293406" w:rsidRPr="00076151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"</w:t>
      </w:r>
      <w:r w:rsidRPr="00076151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Energía eléctrica es trampolín de oportunidades</w:t>
      </w:r>
      <w:r w:rsidR="00293406" w:rsidRPr="00076151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"</w:t>
      </w:r>
      <w:r w:rsidRPr="00076151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E61FB2" w:rsidRPr="00076151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En </w:t>
      </w:r>
      <w:r w:rsidR="00E61FB2" w:rsidRPr="00076151">
        <w:rPr>
          <w:rStyle w:val="Hipervnculo"/>
          <w:rFonts w:ascii="Arial" w:hAnsi="Arial" w:cs="Arial"/>
          <w:i/>
          <w:iCs/>
          <w:color w:val="auto"/>
          <w:sz w:val="24"/>
          <w:szCs w:val="24"/>
          <w:u w:val="none"/>
        </w:rPr>
        <w:t>Energía hoy</w:t>
      </w:r>
      <w:r w:rsidR="00E61FB2" w:rsidRPr="00076151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. Disponible en: </w:t>
      </w:r>
      <w:r w:rsidR="00E61FB2" w:rsidRPr="00076151">
        <w:rPr>
          <w:rStyle w:val="Hipervnculo"/>
          <w:rFonts w:ascii="Arial" w:hAnsi="Arial" w:cs="Arial"/>
          <w:color w:val="auto"/>
          <w:sz w:val="24"/>
          <w:szCs w:val="24"/>
        </w:rPr>
        <w:t>https://energiahoy.com/2021/01/06/energia-electrica-es-trampolin-de-oportunidades/#:~:text=Pobreza%20energ%C3%A9tica&amp;text=Los%20estados%20con%20m%C3%A1s%20comunidades,localidades%20sin%20siquiera%20alumbrado%20p%C3%BAblico.</w:t>
      </w:r>
    </w:p>
    <w:p w14:paraId="4F090CC9" w14:textId="01F6CAB7" w:rsidR="00154051" w:rsidRPr="00076151" w:rsidRDefault="00154051" w:rsidP="00154051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076151">
        <w:rPr>
          <w:rFonts w:ascii="Arial" w:hAnsi="Arial" w:cs="Arial"/>
          <w:sz w:val="24"/>
          <w:szCs w:val="24"/>
          <w:shd w:val="clear" w:color="auto" w:fill="FAFAFA"/>
          <w:lang w:val="en-US"/>
        </w:rPr>
        <w:t>Smith</w:t>
      </w:r>
      <w:r w:rsidR="00094766" w:rsidRPr="00076151">
        <w:rPr>
          <w:rFonts w:ascii="Arial" w:hAnsi="Arial" w:cs="Arial"/>
          <w:sz w:val="24"/>
          <w:szCs w:val="24"/>
          <w:shd w:val="clear" w:color="auto" w:fill="FAFAFA"/>
          <w:lang w:val="en-US"/>
        </w:rPr>
        <w:t>, B.</w:t>
      </w:r>
      <w:r w:rsidR="00FF2BEA" w:rsidRPr="00076151">
        <w:rPr>
          <w:rFonts w:ascii="Arial" w:hAnsi="Arial" w:cs="Arial"/>
          <w:sz w:val="24"/>
          <w:szCs w:val="24"/>
          <w:shd w:val="clear" w:color="auto" w:fill="FAFAFA"/>
          <w:lang w:val="en-US"/>
        </w:rPr>
        <w:t xml:space="preserve"> y</w:t>
      </w:r>
      <w:r w:rsidRPr="00076151">
        <w:rPr>
          <w:rFonts w:ascii="Arial" w:hAnsi="Arial" w:cs="Arial"/>
          <w:sz w:val="24"/>
          <w:szCs w:val="24"/>
          <w:shd w:val="clear" w:color="auto" w:fill="FAFAFA"/>
          <w:lang w:val="en-US"/>
        </w:rPr>
        <w:t xml:space="preserve"> Waldner</w:t>
      </w:r>
      <w:r w:rsidR="00094766" w:rsidRPr="00076151">
        <w:rPr>
          <w:rFonts w:ascii="Arial" w:hAnsi="Arial" w:cs="Arial"/>
          <w:sz w:val="24"/>
          <w:szCs w:val="24"/>
          <w:shd w:val="clear" w:color="auto" w:fill="FAFAFA"/>
          <w:lang w:val="en-US"/>
        </w:rPr>
        <w:t>, D.</w:t>
      </w:r>
      <w:r w:rsidRPr="00076151">
        <w:rPr>
          <w:rFonts w:ascii="Arial" w:hAnsi="Arial" w:cs="Arial"/>
          <w:sz w:val="24"/>
          <w:szCs w:val="24"/>
          <w:shd w:val="clear" w:color="auto" w:fill="FAFAFA"/>
          <w:lang w:val="en-US"/>
        </w:rPr>
        <w:t xml:space="preserve"> (2021). </w:t>
      </w:r>
      <w:r w:rsidR="001E61AD" w:rsidRPr="00076151">
        <w:rPr>
          <w:rFonts w:ascii="Arial" w:hAnsi="Arial" w:cs="Arial"/>
          <w:sz w:val="24"/>
          <w:szCs w:val="24"/>
          <w:shd w:val="clear" w:color="auto" w:fill="FAFAFA"/>
        </w:rPr>
        <w:t>"</w:t>
      </w:r>
      <w:r w:rsidRPr="00076151">
        <w:rPr>
          <w:rFonts w:ascii="Arial" w:hAnsi="Arial" w:cs="Arial"/>
          <w:sz w:val="24"/>
          <w:szCs w:val="24"/>
          <w:shd w:val="clear" w:color="auto" w:fill="FAFAFA"/>
        </w:rPr>
        <w:t>Repensar la maldición de los recursos</w:t>
      </w:r>
      <w:r w:rsidR="001E61AD" w:rsidRPr="00076151">
        <w:rPr>
          <w:rFonts w:ascii="Arial" w:hAnsi="Arial" w:cs="Arial"/>
          <w:sz w:val="24"/>
          <w:szCs w:val="24"/>
          <w:shd w:val="clear" w:color="auto" w:fill="FAFAFA"/>
        </w:rPr>
        <w:t>"</w:t>
      </w:r>
      <w:r w:rsidRPr="00076151">
        <w:rPr>
          <w:rFonts w:ascii="Arial" w:hAnsi="Arial" w:cs="Arial"/>
          <w:sz w:val="24"/>
          <w:szCs w:val="24"/>
          <w:shd w:val="clear" w:color="auto" w:fill="FAFAFA"/>
        </w:rPr>
        <w:t>.</w:t>
      </w:r>
      <w:r w:rsidR="001E61AD" w:rsidRPr="00076151">
        <w:rPr>
          <w:rFonts w:ascii="Arial" w:hAnsi="Arial" w:cs="Arial"/>
          <w:sz w:val="24"/>
          <w:szCs w:val="24"/>
          <w:shd w:val="clear" w:color="auto" w:fill="FAFAFA"/>
        </w:rPr>
        <w:t xml:space="preserve"> En</w:t>
      </w:r>
      <w:r w:rsidRPr="00076151">
        <w:rPr>
          <w:rFonts w:ascii="Arial" w:hAnsi="Arial" w:cs="Arial"/>
          <w:sz w:val="24"/>
          <w:szCs w:val="24"/>
          <w:shd w:val="clear" w:color="auto" w:fill="FAFAFA"/>
        </w:rPr>
        <w:t> </w:t>
      </w:r>
      <w:r w:rsidRPr="00076151">
        <w:rPr>
          <w:rFonts w:ascii="Arial" w:hAnsi="Arial" w:cs="Arial"/>
          <w:i/>
          <w:iCs/>
          <w:sz w:val="24"/>
          <w:szCs w:val="24"/>
          <w:shd w:val="clear" w:color="auto" w:fill="FAFAFA"/>
        </w:rPr>
        <w:t>Prensa de la Universidad de Cambridge</w:t>
      </w:r>
      <w:r w:rsidRPr="00076151">
        <w:rPr>
          <w:rFonts w:ascii="Arial" w:hAnsi="Arial" w:cs="Arial"/>
          <w:sz w:val="24"/>
          <w:szCs w:val="24"/>
          <w:shd w:val="clear" w:color="auto" w:fill="FAFAFA"/>
        </w:rPr>
        <w:t xml:space="preserve">. </w:t>
      </w:r>
      <w:r w:rsidR="001E61AD" w:rsidRPr="00076151">
        <w:rPr>
          <w:rFonts w:ascii="Arial" w:hAnsi="Arial" w:cs="Arial"/>
          <w:sz w:val="24"/>
          <w:szCs w:val="24"/>
          <w:shd w:val="clear" w:color="auto" w:fill="FAFAFA"/>
        </w:rPr>
        <w:t>D</w:t>
      </w:r>
      <w:r w:rsidRPr="00076151">
        <w:rPr>
          <w:rFonts w:ascii="Arial" w:hAnsi="Arial" w:cs="Arial"/>
          <w:sz w:val="24"/>
          <w:szCs w:val="24"/>
          <w:shd w:val="clear" w:color="auto" w:fill="FAFAFA"/>
        </w:rPr>
        <w:t>oi: 10.1017 / 9781108776837.</w:t>
      </w:r>
    </w:p>
    <w:p w14:paraId="2D4320C1" w14:textId="4C510A32" w:rsidR="003A5DD5" w:rsidRPr="001E61AD" w:rsidRDefault="00BC7AF5" w:rsidP="001E61AD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76151">
        <w:rPr>
          <w:rFonts w:ascii="Arial" w:hAnsi="Arial" w:cs="Arial"/>
          <w:sz w:val="24"/>
          <w:szCs w:val="24"/>
        </w:rPr>
        <w:t xml:space="preserve">World Bank (2021). </w:t>
      </w:r>
      <w:r w:rsidRPr="00076151">
        <w:rPr>
          <w:rFonts w:ascii="Arial" w:hAnsi="Arial" w:cs="Arial"/>
          <w:i/>
          <w:iCs/>
          <w:sz w:val="24"/>
          <w:szCs w:val="24"/>
        </w:rPr>
        <w:t>Databank</w:t>
      </w:r>
      <w:r w:rsidR="001E61AD" w:rsidRPr="00076151">
        <w:rPr>
          <w:rFonts w:ascii="Arial" w:hAnsi="Arial" w:cs="Arial"/>
          <w:sz w:val="24"/>
          <w:szCs w:val="24"/>
        </w:rPr>
        <w:t xml:space="preserve">. Disponible en: </w:t>
      </w:r>
      <w:hyperlink r:id="rId15" w:history="1">
        <w:r w:rsidR="002D3AC5" w:rsidRPr="00076151">
          <w:rPr>
            <w:rStyle w:val="Hipervnculo"/>
            <w:rFonts w:ascii="Arial" w:hAnsi="Arial" w:cs="Arial"/>
            <w:color w:val="auto"/>
            <w:sz w:val="24"/>
            <w:szCs w:val="24"/>
          </w:rPr>
          <w:t>https://datos.bancomundial.org/indicator/EG.USE.ELEC.KH.PC</w:t>
        </w:r>
      </w:hyperlink>
    </w:p>
    <w:sectPr w:rsidR="003A5DD5" w:rsidRPr="001E61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7AED" w14:textId="77777777" w:rsidR="008B03CD" w:rsidRDefault="008B03CD" w:rsidP="00DF7329">
      <w:pPr>
        <w:spacing w:after="0" w:line="240" w:lineRule="auto"/>
      </w:pPr>
      <w:r>
        <w:separator/>
      </w:r>
    </w:p>
  </w:endnote>
  <w:endnote w:type="continuationSeparator" w:id="0">
    <w:p w14:paraId="7CD35158" w14:textId="77777777" w:rsidR="008B03CD" w:rsidRDefault="008B03CD" w:rsidP="00DF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97FB" w14:textId="77777777" w:rsidR="008B03CD" w:rsidRDefault="008B03CD" w:rsidP="00DF7329">
      <w:pPr>
        <w:spacing w:after="0" w:line="240" w:lineRule="auto"/>
      </w:pPr>
      <w:r>
        <w:separator/>
      </w:r>
    </w:p>
  </w:footnote>
  <w:footnote w:type="continuationSeparator" w:id="0">
    <w:p w14:paraId="6E1D0293" w14:textId="77777777" w:rsidR="008B03CD" w:rsidRDefault="008B03CD" w:rsidP="00DF7329">
      <w:pPr>
        <w:spacing w:after="0" w:line="240" w:lineRule="auto"/>
      </w:pPr>
      <w:r>
        <w:continuationSeparator/>
      </w:r>
    </w:p>
  </w:footnote>
  <w:footnote w:id="1">
    <w:p w14:paraId="6B40D8D1" w14:textId="5B8CBCCC" w:rsidR="00F02830" w:rsidRDefault="00F02830">
      <w:pPr>
        <w:pStyle w:val="Textonotapie"/>
      </w:pPr>
      <w:r w:rsidRPr="00076151">
        <w:rPr>
          <w:rStyle w:val="Refdenotaalpie"/>
        </w:rPr>
        <w:footnoteRef/>
      </w:r>
      <w:r w:rsidRPr="00076151">
        <w:t xml:space="preserve"> </w:t>
      </w:r>
      <w:r w:rsidRPr="00076151">
        <w:rPr>
          <w:rFonts w:ascii="Arial" w:hAnsi="Arial" w:cs="Arial"/>
        </w:rPr>
        <w:t>Para más información, obsérvese Tabla 1</w:t>
      </w:r>
      <w:r w:rsidR="00293406" w:rsidRPr="00076151">
        <w:rPr>
          <w:rFonts w:ascii="Arial" w:hAnsi="Arial" w:cs="Arial"/>
        </w:rPr>
        <w:t>.</w:t>
      </w:r>
    </w:p>
  </w:footnote>
  <w:footnote w:id="2">
    <w:p w14:paraId="2E55948B" w14:textId="0BEC16A0" w:rsidR="002D3AC5" w:rsidRPr="002D3AC5" w:rsidRDefault="002D3AC5" w:rsidP="002D3AC5">
      <w:pPr>
        <w:pStyle w:val="Textonotapie"/>
        <w:jc w:val="both"/>
        <w:rPr>
          <w:rFonts w:ascii="Arial" w:hAnsi="Arial" w:cs="Arial"/>
        </w:rPr>
      </w:pPr>
      <w:r w:rsidRPr="002D3AC5">
        <w:rPr>
          <w:rStyle w:val="Refdenotaalpie"/>
          <w:rFonts w:ascii="Arial" w:hAnsi="Arial" w:cs="Arial"/>
        </w:rPr>
        <w:footnoteRef/>
      </w:r>
      <w:r w:rsidRPr="002D3AC5">
        <w:rPr>
          <w:rFonts w:ascii="Arial" w:hAnsi="Arial" w:cs="Arial"/>
        </w:rPr>
        <w:t xml:space="preserve"> La maldición de los recursos, también conocida como la paradoja de la abundancia o la paradoja de la pobreza, es el fenómeno de países con abundancia de recursos naturales (como combustibles fósiles y ciertos minerales) que tienen menos crecimiento económic</w:t>
      </w:r>
      <w:r>
        <w:rPr>
          <w:rFonts w:ascii="Arial" w:hAnsi="Arial" w:cs="Arial"/>
        </w:rPr>
        <w:t>o</w:t>
      </w:r>
      <w:r w:rsidRPr="002D3AC5">
        <w:rPr>
          <w:rFonts w:ascii="Arial" w:hAnsi="Arial" w:cs="Arial"/>
        </w:rPr>
        <w:t>, menos democracia o peores resultados de desarrollo que los países. con menos recursos naturales</w:t>
      </w:r>
      <w:r>
        <w:rPr>
          <w:rFonts w:ascii="Arial" w:hAnsi="Arial" w:cs="Arial"/>
        </w:rPr>
        <w:t xml:space="preserve"> (Smith y Waldner, 2021).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10CC"/>
    <w:multiLevelType w:val="hybridMultilevel"/>
    <w:tmpl w:val="05945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6D1"/>
    <w:multiLevelType w:val="hybridMultilevel"/>
    <w:tmpl w:val="A5F67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796272">
    <w:abstractNumId w:val="0"/>
  </w:num>
  <w:num w:numId="2" w16cid:durableId="640888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B0"/>
    <w:rsid w:val="00003FE6"/>
    <w:rsid w:val="00056678"/>
    <w:rsid w:val="00057739"/>
    <w:rsid w:val="00076151"/>
    <w:rsid w:val="00094766"/>
    <w:rsid w:val="000B1E6F"/>
    <w:rsid w:val="000B2C0F"/>
    <w:rsid w:val="000B7404"/>
    <w:rsid w:val="000D1EDA"/>
    <w:rsid w:val="000D7AA9"/>
    <w:rsid w:val="000F4B23"/>
    <w:rsid w:val="0010345D"/>
    <w:rsid w:val="001515A8"/>
    <w:rsid w:val="00154051"/>
    <w:rsid w:val="00164CE8"/>
    <w:rsid w:val="0018550F"/>
    <w:rsid w:val="00195227"/>
    <w:rsid w:val="001961B0"/>
    <w:rsid w:val="00196B9B"/>
    <w:rsid w:val="001B6416"/>
    <w:rsid w:val="001B7444"/>
    <w:rsid w:val="001E61AD"/>
    <w:rsid w:val="00206C5C"/>
    <w:rsid w:val="00293406"/>
    <w:rsid w:val="002967D4"/>
    <w:rsid w:val="002A183E"/>
    <w:rsid w:val="002B7339"/>
    <w:rsid w:val="002D045D"/>
    <w:rsid w:val="002D3AC5"/>
    <w:rsid w:val="002E75E0"/>
    <w:rsid w:val="00305E81"/>
    <w:rsid w:val="0031184F"/>
    <w:rsid w:val="00317BF8"/>
    <w:rsid w:val="003461A4"/>
    <w:rsid w:val="00372D50"/>
    <w:rsid w:val="00386A3F"/>
    <w:rsid w:val="003A319F"/>
    <w:rsid w:val="003A5DD5"/>
    <w:rsid w:val="003F2ECF"/>
    <w:rsid w:val="003F6F0F"/>
    <w:rsid w:val="0042598C"/>
    <w:rsid w:val="00431DCF"/>
    <w:rsid w:val="00443D64"/>
    <w:rsid w:val="00446FD2"/>
    <w:rsid w:val="00454EE5"/>
    <w:rsid w:val="00503A5A"/>
    <w:rsid w:val="005144D6"/>
    <w:rsid w:val="005200B2"/>
    <w:rsid w:val="0053636E"/>
    <w:rsid w:val="005408F4"/>
    <w:rsid w:val="005605AC"/>
    <w:rsid w:val="00580CB0"/>
    <w:rsid w:val="005F34A4"/>
    <w:rsid w:val="00617A3F"/>
    <w:rsid w:val="006422EA"/>
    <w:rsid w:val="00657C4F"/>
    <w:rsid w:val="00661D5B"/>
    <w:rsid w:val="00662DB0"/>
    <w:rsid w:val="006721A9"/>
    <w:rsid w:val="00673D1D"/>
    <w:rsid w:val="00675325"/>
    <w:rsid w:val="006C09B0"/>
    <w:rsid w:val="006F7096"/>
    <w:rsid w:val="00726D0B"/>
    <w:rsid w:val="0074046A"/>
    <w:rsid w:val="007C1674"/>
    <w:rsid w:val="007F2953"/>
    <w:rsid w:val="00810DA2"/>
    <w:rsid w:val="00832DED"/>
    <w:rsid w:val="00883CAA"/>
    <w:rsid w:val="008A1C0E"/>
    <w:rsid w:val="008B03CD"/>
    <w:rsid w:val="008C1D38"/>
    <w:rsid w:val="008E4750"/>
    <w:rsid w:val="00911E7E"/>
    <w:rsid w:val="0094139F"/>
    <w:rsid w:val="009414CA"/>
    <w:rsid w:val="00977D90"/>
    <w:rsid w:val="00981AAC"/>
    <w:rsid w:val="00983982"/>
    <w:rsid w:val="00983ECA"/>
    <w:rsid w:val="0098750C"/>
    <w:rsid w:val="009A5819"/>
    <w:rsid w:val="009B75E7"/>
    <w:rsid w:val="009F45BB"/>
    <w:rsid w:val="00A34EE2"/>
    <w:rsid w:val="00A65CC3"/>
    <w:rsid w:val="00A66050"/>
    <w:rsid w:val="00A74EB7"/>
    <w:rsid w:val="00A948A7"/>
    <w:rsid w:val="00AB5FA3"/>
    <w:rsid w:val="00AC76F0"/>
    <w:rsid w:val="00AE3365"/>
    <w:rsid w:val="00AE4E2F"/>
    <w:rsid w:val="00B413BC"/>
    <w:rsid w:val="00B770B9"/>
    <w:rsid w:val="00B864AB"/>
    <w:rsid w:val="00B9525A"/>
    <w:rsid w:val="00BC7AF5"/>
    <w:rsid w:val="00BE2885"/>
    <w:rsid w:val="00BF2063"/>
    <w:rsid w:val="00C02685"/>
    <w:rsid w:val="00C53D99"/>
    <w:rsid w:val="00C54003"/>
    <w:rsid w:val="00C60448"/>
    <w:rsid w:val="00C7248C"/>
    <w:rsid w:val="00C727F6"/>
    <w:rsid w:val="00C91949"/>
    <w:rsid w:val="00C96FA1"/>
    <w:rsid w:val="00CA7A30"/>
    <w:rsid w:val="00CB6084"/>
    <w:rsid w:val="00CD63EE"/>
    <w:rsid w:val="00D24A16"/>
    <w:rsid w:val="00D24FAC"/>
    <w:rsid w:val="00D50597"/>
    <w:rsid w:val="00D74B46"/>
    <w:rsid w:val="00DB3875"/>
    <w:rsid w:val="00DF7329"/>
    <w:rsid w:val="00E01B73"/>
    <w:rsid w:val="00E341E2"/>
    <w:rsid w:val="00E516A3"/>
    <w:rsid w:val="00E61FB2"/>
    <w:rsid w:val="00E66DA4"/>
    <w:rsid w:val="00E735EB"/>
    <w:rsid w:val="00E765CB"/>
    <w:rsid w:val="00EB1FDC"/>
    <w:rsid w:val="00EB7156"/>
    <w:rsid w:val="00EC42DD"/>
    <w:rsid w:val="00EF1BB6"/>
    <w:rsid w:val="00F02830"/>
    <w:rsid w:val="00F038DB"/>
    <w:rsid w:val="00F25EA1"/>
    <w:rsid w:val="00F27BE3"/>
    <w:rsid w:val="00F309D4"/>
    <w:rsid w:val="00F41BE2"/>
    <w:rsid w:val="00F661DD"/>
    <w:rsid w:val="00F80156"/>
    <w:rsid w:val="00FB76C7"/>
    <w:rsid w:val="00FD4475"/>
    <w:rsid w:val="00FD44AD"/>
    <w:rsid w:val="00FD505E"/>
    <w:rsid w:val="00FE3BED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6F4D"/>
  <w15:chartTrackingRefBased/>
  <w15:docId w15:val="{F1088E9E-AA3E-4C91-8D16-34C7F16A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8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52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525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0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F73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73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7329"/>
    <w:rPr>
      <w:vertAlign w:val="superscript"/>
    </w:rPr>
  </w:style>
  <w:style w:type="paragraph" w:styleId="Revisin">
    <w:name w:val="Revision"/>
    <w:hidden/>
    <w:uiPriority w:val="99"/>
    <w:semiHidden/>
    <w:rsid w:val="00C53D9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53D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3D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3D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D99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aho.org/es/temas/calidad-a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ologistasenaccion.org/133199/transicion-a-energias-renovables-y-demanda-de-mineral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1356-019-04357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os.bancomundial.org/indicator/EG.USE.ELEC.KH.PC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cologistasenaccion.org/14591/deuda-ecologica-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EF6F-0EA1-4C37-9522-237C609C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Sostenes Flores</dc:creator>
  <cp:keywords/>
  <dc:description/>
  <cp:lastModifiedBy>ARACELI HERNANDEZ GRANADOS</cp:lastModifiedBy>
  <cp:revision>5</cp:revision>
  <dcterms:created xsi:type="dcterms:W3CDTF">2022-07-01T21:56:00Z</dcterms:created>
  <dcterms:modified xsi:type="dcterms:W3CDTF">2022-07-04T18:54:00Z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1474333200</vt:i4>
  </property>
</Properties>
</file>